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7E7" w:rsidRDefault="004E3243">
      <w:pPr>
        <w:rPr>
          <w:rFonts w:ascii="Arial" w:hAnsi="Arial" w:cs="Arial"/>
        </w:rPr>
      </w:pPr>
      <w:bookmarkStart w:id="0" w:name="_GoBack"/>
      <w:bookmarkEnd w:id="0"/>
      <w:r>
        <w:rPr>
          <w:rFonts w:ascii="Arial" w:hAnsi="Arial" w:cs="Arial"/>
        </w:rPr>
        <w:t>Tower Hamlets Debt &amp; Money</w:t>
      </w:r>
      <w:r w:rsidR="00203C1D">
        <w:rPr>
          <w:rFonts w:ascii="Arial" w:hAnsi="Arial" w:cs="Arial"/>
        </w:rPr>
        <w:t xml:space="preserve"> Advice Forum Minutes 06/03/2018</w:t>
      </w:r>
    </w:p>
    <w:p w:rsidR="004E3243" w:rsidRDefault="004E3243">
      <w:pPr>
        <w:rPr>
          <w:rFonts w:ascii="Arial" w:hAnsi="Arial" w:cs="Arial"/>
        </w:rPr>
      </w:pPr>
      <w:r>
        <w:rPr>
          <w:rFonts w:ascii="Arial" w:hAnsi="Arial" w:cs="Arial"/>
        </w:rPr>
        <w:t>Attendees: Sam Crosby (Toynbee Hall), Sarah Sauvat (Island Advice), Hien Di</w:t>
      </w:r>
      <w:r w:rsidR="00203C1D">
        <w:rPr>
          <w:rFonts w:ascii="Arial" w:hAnsi="Arial" w:cs="Arial"/>
        </w:rPr>
        <w:t xml:space="preserve">nh (Island Advice), Michael Alderson </w:t>
      </w:r>
      <w:r>
        <w:rPr>
          <w:rFonts w:ascii="Arial" w:hAnsi="Arial" w:cs="Arial"/>
        </w:rPr>
        <w:t xml:space="preserve">(Tower Hamlets), Anna Shipp (Tower Hamlets), </w:t>
      </w:r>
      <w:r w:rsidR="00203C1D">
        <w:rPr>
          <w:rFonts w:ascii="Arial" w:hAnsi="Arial" w:cs="Arial"/>
        </w:rPr>
        <w:t>Toni Meredew (Account3), Shajida Ali (Fair Finance), Paul Scannell (Sherriff Centre)</w:t>
      </w:r>
    </w:p>
    <w:tbl>
      <w:tblPr>
        <w:tblStyle w:val="TableGrid"/>
        <w:tblW w:w="0" w:type="auto"/>
        <w:tblLook w:val="04A0" w:firstRow="1" w:lastRow="0" w:firstColumn="1" w:lastColumn="0" w:noHBand="0" w:noVBand="1"/>
      </w:tblPr>
      <w:tblGrid>
        <w:gridCol w:w="2195"/>
        <w:gridCol w:w="5076"/>
        <w:gridCol w:w="1745"/>
      </w:tblGrid>
      <w:tr w:rsidR="004E3243" w:rsidTr="009D6977">
        <w:tc>
          <w:tcPr>
            <w:tcW w:w="2195" w:type="dxa"/>
          </w:tcPr>
          <w:p w:rsidR="004E3243" w:rsidRPr="009C426F" w:rsidRDefault="00203C1D" w:rsidP="009C426F">
            <w:pPr>
              <w:pStyle w:val="ListParagraph"/>
              <w:numPr>
                <w:ilvl w:val="0"/>
                <w:numId w:val="1"/>
              </w:numPr>
              <w:rPr>
                <w:rFonts w:ascii="Arial" w:hAnsi="Arial" w:cs="Arial"/>
                <w:b/>
              </w:rPr>
            </w:pPr>
            <w:r>
              <w:rPr>
                <w:rFonts w:ascii="Arial" w:hAnsi="Arial" w:cs="Arial"/>
                <w:b/>
              </w:rPr>
              <w:t>Tower Hamlets Homes hub proposal</w:t>
            </w:r>
          </w:p>
        </w:tc>
        <w:tc>
          <w:tcPr>
            <w:tcW w:w="5076" w:type="dxa"/>
          </w:tcPr>
          <w:p w:rsidR="004378FD" w:rsidRDefault="001D47C6" w:rsidP="001D47C6">
            <w:pPr>
              <w:rPr>
                <w:rFonts w:ascii="Arial" w:hAnsi="Arial" w:cs="Arial"/>
              </w:rPr>
            </w:pPr>
            <w:r>
              <w:rPr>
                <w:rFonts w:ascii="Arial" w:hAnsi="Arial" w:cs="Arial"/>
              </w:rPr>
              <w:t xml:space="preserve">Toni introduced the proposal from Tower Hamlets Homes </w:t>
            </w:r>
            <w:r w:rsidR="00C329B2">
              <w:rPr>
                <w:rFonts w:ascii="Arial" w:hAnsi="Arial" w:cs="Arial"/>
              </w:rPr>
              <w:t xml:space="preserve">for a central advice hub to be run from </w:t>
            </w:r>
            <w:r w:rsidR="009224E0">
              <w:rPr>
                <w:rFonts w:ascii="Arial" w:hAnsi="Arial" w:cs="Arial"/>
              </w:rPr>
              <w:t xml:space="preserve">the </w:t>
            </w:r>
            <w:proofErr w:type="spellStart"/>
            <w:r w:rsidR="009224E0">
              <w:rPr>
                <w:rFonts w:ascii="Arial" w:hAnsi="Arial" w:cs="Arial"/>
              </w:rPr>
              <w:t>Wingrove</w:t>
            </w:r>
            <w:proofErr w:type="spellEnd"/>
            <w:r w:rsidR="009224E0">
              <w:rPr>
                <w:rFonts w:ascii="Arial" w:hAnsi="Arial" w:cs="Arial"/>
              </w:rPr>
              <w:t xml:space="preserve"> Resource Centre on a ‘neither pays either’ basis</w:t>
            </w:r>
            <w:r w:rsidR="004B4285">
              <w:rPr>
                <w:rFonts w:ascii="Arial" w:hAnsi="Arial" w:cs="Arial"/>
              </w:rPr>
              <w:t>.</w:t>
            </w:r>
          </w:p>
          <w:p w:rsidR="004B4285" w:rsidRDefault="004B4285" w:rsidP="001D47C6">
            <w:pPr>
              <w:rPr>
                <w:rFonts w:ascii="Arial" w:hAnsi="Arial" w:cs="Arial"/>
              </w:rPr>
            </w:pPr>
          </w:p>
          <w:p w:rsidR="004B4285" w:rsidRDefault="004B4285" w:rsidP="001D47C6">
            <w:pPr>
              <w:rPr>
                <w:rFonts w:ascii="Arial" w:hAnsi="Arial" w:cs="Arial"/>
              </w:rPr>
            </w:pPr>
            <w:r>
              <w:rPr>
                <w:rFonts w:ascii="Arial" w:hAnsi="Arial" w:cs="Arial"/>
              </w:rPr>
              <w:t xml:space="preserve">Please see report from Toni Meredew on this discussion which is sent out with these minutes for further information. </w:t>
            </w:r>
          </w:p>
          <w:p w:rsidR="00683195" w:rsidRDefault="00683195" w:rsidP="001D47C6">
            <w:pPr>
              <w:rPr>
                <w:rFonts w:ascii="Arial" w:hAnsi="Arial" w:cs="Arial"/>
              </w:rPr>
            </w:pPr>
          </w:p>
          <w:p w:rsidR="00683195" w:rsidRDefault="00683195" w:rsidP="001D47C6">
            <w:pPr>
              <w:rPr>
                <w:rFonts w:ascii="Arial" w:hAnsi="Arial" w:cs="Arial"/>
              </w:rPr>
            </w:pPr>
            <w:r>
              <w:rPr>
                <w:rFonts w:ascii="Arial" w:hAnsi="Arial" w:cs="Arial"/>
              </w:rPr>
              <w:t xml:space="preserve">If anyone who was not present at the meeting wishes to add anything to this discussion please email Toni at </w:t>
            </w:r>
            <w:hyperlink r:id="rId5" w:history="1">
              <w:r w:rsidRPr="005F0785">
                <w:rPr>
                  <w:rStyle w:val="Hyperlink"/>
                  <w:rFonts w:ascii="Arial" w:hAnsi="Arial" w:cs="Arial"/>
                </w:rPr>
                <w:t>ToniM@account3.org.uk</w:t>
              </w:r>
            </w:hyperlink>
            <w:r>
              <w:rPr>
                <w:rFonts w:ascii="Arial" w:hAnsi="Arial" w:cs="Arial"/>
              </w:rPr>
              <w:t xml:space="preserve"> </w:t>
            </w:r>
          </w:p>
          <w:p w:rsidR="00683195" w:rsidRDefault="00683195" w:rsidP="001D47C6">
            <w:pPr>
              <w:rPr>
                <w:rFonts w:ascii="Arial" w:hAnsi="Arial" w:cs="Arial"/>
              </w:rPr>
            </w:pPr>
          </w:p>
        </w:tc>
        <w:tc>
          <w:tcPr>
            <w:tcW w:w="1745" w:type="dxa"/>
          </w:tcPr>
          <w:p w:rsidR="004E3243" w:rsidRDefault="004E3243">
            <w:pPr>
              <w:rPr>
                <w:rFonts w:ascii="Arial" w:hAnsi="Arial" w:cs="Arial"/>
              </w:rPr>
            </w:pPr>
          </w:p>
        </w:tc>
      </w:tr>
      <w:tr w:rsidR="004E3243" w:rsidTr="009D6977">
        <w:tc>
          <w:tcPr>
            <w:tcW w:w="2195" w:type="dxa"/>
          </w:tcPr>
          <w:p w:rsidR="004E3243" w:rsidRPr="004378FD" w:rsidRDefault="006B27BE" w:rsidP="004378FD">
            <w:pPr>
              <w:pStyle w:val="ListParagraph"/>
              <w:numPr>
                <w:ilvl w:val="0"/>
                <w:numId w:val="1"/>
              </w:numPr>
              <w:rPr>
                <w:rFonts w:ascii="Arial" w:hAnsi="Arial" w:cs="Arial"/>
                <w:b/>
              </w:rPr>
            </w:pPr>
            <w:r>
              <w:rPr>
                <w:rFonts w:ascii="Arial" w:hAnsi="Arial" w:cs="Arial"/>
                <w:b/>
              </w:rPr>
              <w:t>Council Tax recovery</w:t>
            </w:r>
          </w:p>
        </w:tc>
        <w:tc>
          <w:tcPr>
            <w:tcW w:w="5076" w:type="dxa"/>
          </w:tcPr>
          <w:p w:rsidR="003F419C" w:rsidRDefault="00356EF5" w:rsidP="006B27BE">
            <w:pPr>
              <w:rPr>
                <w:rFonts w:ascii="Arial" w:hAnsi="Arial" w:cs="Arial"/>
              </w:rPr>
            </w:pPr>
            <w:r>
              <w:rPr>
                <w:rFonts w:ascii="Arial" w:hAnsi="Arial" w:cs="Arial"/>
              </w:rPr>
              <w:t xml:space="preserve">Sarah – good to see a lot of people getting in touch with advice agencies after being signposted by LBTH. Whether this is directly from council workers or from information on advice agencies sent out with council tax notices. </w:t>
            </w:r>
          </w:p>
          <w:p w:rsidR="00356EF5" w:rsidRDefault="00356EF5" w:rsidP="006B27BE">
            <w:pPr>
              <w:rPr>
                <w:rFonts w:ascii="Arial" w:hAnsi="Arial" w:cs="Arial"/>
              </w:rPr>
            </w:pPr>
          </w:p>
          <w:p w:rsidR="00356EF5" w:rsidRDefault="008D590F" w:rsidP="006B27BE">
            <w:pPr>
              <w:rPr>
                <w:rFonts w:ascii="Arial" w:hAnsi="Arial" w:cs="Arial"/>
              </w:rPr>
            </w:pPr>
            <w:r>
              <w:rPr>
                <w:rFonts w:ascii="Arial" w:hAnsi="Arial" w:cs="Arial"/>
              </w:rPr>
              <w:t xml:space="preserve">Michael – Handed out copies of the information on advice agencies </w:t>
            </w:r>
            <w:r w:rsidR="003E3D56">
              <w:rPr>
                <w:rFonts w:ascii="Arial" w:hAnsi="Arial" w:cs="Arial"/>
              </w:rPr>
              <w:t>sent out with the council tax notices. It was suggested that the Capitalise hub number should be added to the info as a central referral port for debt advice. Sarah encouraged this.</w:t>
            </w:r>
          </w:p>
          <w:p w:rsidR="003E3D56" w:rsidRDefault="003E3D56" w:rsidP="006B27BE">
            <w:pPr>
              <w:rPr>
                <w:rFonts w:ascii="Arial" w:hAnsi="Arial" w:cs="Arial"/>
              </w:rPr>
            </w:pPr>
          </w:p>
          <w:p w:rsidR="003E3D56" w:rsidRDefault="003E3D56" w:rsidP="006B27BE">
            <w:pPr>
              <w:rPr>
                <w:rFonts w:ascii="Arial" w:hAnsi="Arial" w:cs="Arial"/>
              </w:rPr>
            </w:pPr>
            <w:r>
              <w:rPr>
                <w:rFonts w:ascii="Arial" w:hAnsi="Arial" w:cs="Arial"/>
              </w:rPr>
              <w:t>Shajida – Fair finance has not received any referrals through the hub. Sam will look into the reasons for this.</w:t>
            </w:r>
          </w:p>
        </w:tc>
        <w:tc>
          <w:tcPr>
            <w:tcW w:w="1745" w:type="dxa"/>
          </w:tcPr>
          <w:p w:rsidR="004E3243" w:rsidRDefault="004E3243">
            <w:pPr>
              <w:rPr>
                <w:rFonts w:ascii="Arial" w:hAnsi="Arial" w:cs="Arial"/>
              </w:rPr>
            </w:pPr>
          </w:p>
        </w:tc>
      </w:tr>
      <w:tr w:rsidR="004E3243" w:rsidTr="009D6977">
        <w:tc>
          <w:tcPr>
            <w:tcW w:w="2195" w:type="dxa"/>
          </w:tcPr>
          <w:p w:rsidR="004E3243" w:rsidRPr="003F419C" w:rsidRDefault="00512ED5" w:rsidP="003F419C">
            <w:pPr>
              <w:pStyle w:val="ListParagraph"/>
              <w:numPr>
                <w:ilvl w:val="0"/>
                <w:numId w:val="1"/>
              </w:numPr>
              <w:rPr>
                <w:rFonts w:ascii="Arial" w:hAnsi="Arial" w:cs="Arial"/>
                <w:b/>
              </w:rPr>
            </w:pPr>
            <w:r>
              <w:rPr>
                <w:rFonts w:ascii="Arial" w:hAnsi="Arial" w:cs="Arial"/>
                <w:b/>
              </w:rPr>
              <w:t>Summons costs being applied for small amounts</w:t>
            </w:r>
          </w:p>
        </w:tc>
        <w:tc>
          <w:tcPr>
            <w:tcW w:w="5076" w:type="dxa"/>
          </w:tcPr>
          <w:p w:rsidR="003F419C" w:rsidRDefault="00512ED5">
            <w:pPr>
              <w:rPr>
                <w:rFonts w:ascii="Arial" w:hAnsi="Arial" w:cs="Arial"/>
              </w:rPr>
            </w:pPr>
            <w:r>
              <w:rPr>
                <w:rFonts w:ascii="Arial" w:hAnsi="Arial" w:cs="Arial"/>
              </w:rPr>
              <w:t>Anna to send out the thresholds</w:t>
            </w:r>
            <w:r w:rsidR="008B5FBC">
              <w:rPr>
                <w:rFonts w:ascii="Arial" w:hAnsi="Arial" w:cs="Arial"/>
              </w:rPr>
              <w:t xml:space="preserve"> for the reductions on summons costs when only small amounts are owed. </w:t>
            </w:r>
          </w:p>
          <w:p w:rsidR="00E62E21" w:rsidRDefault="00E62E21">
            <w:pPr>
              <w:rPr>
                <w:rFonts w:ascii="Arial" w:hAnsi="Arial" w:cs="Arial"/>
              </w:rPr>
            </w:pPr>
          </w:p>
          <w:p w:rsidR="00391A51" w:rsidRDefault="00391A51">
            <w:pPr>
              <w:rPr>
                <w:rFonts w:ascii="Arial" w:hAnsi="Arial" w:cs="Arial"/>
              </w:rPr>
            </w:pPr>
          </w:p>
          <w:p w:rsidR="00391A51" w:rsidRDefault="00391A51">
            <w:pPr>
              <w:rPr>
                <w:rFonts w:ascii="Arial" w:hAnsi="Arial" w:cs="Arial"/>
              </w:rPr>
            </w:pPr>
          </w:p>
        </w:tc>
        <w:tc>
          <w:tcPr>
            <w:tcW w:w="1745" w:type="dxa"/>
          </w:tcPr>
          <w:p w:rsidR="004E3243" w:rsidRDefault="004E3243">
            <w:pPr>
              <w:rPr>
                <w:rFonts w:ascii="Arial" w:hAnsi="Arial" w:cs="Arial"/>
              </w:rPr>
            </w:pPr>
          </w:p>
        </w:tc>
      </w:tr>
      <w:tr w:rsidR="004E3243" w:rsidTr="009D6977">
        <w:tc>
          <w:tcPr>
            <w:tcW w:w="2195" w:type="dxa"/>
          </w:tcPr>
          <w:p w:rsidR="004E3243" w:rsidRPr="00391A51" w:rsidRDefault="008B5FBC" w:rsidP="00391A51">
            <w:pPr>
              <w:pStyle w:val="ListParagraph"/>
              <w:numPr>
                <w:ilvl w:val="0"/>
                <w:numId w:val="1"/>
              </w:numPr>
              <w:rPr>
                <w:rFonts w:ascii="Arial" w:hAnsi="Arial" w:cs="Arial"/>
                <w:b/>
              </w:rPr>
            </w:pPr>
            <w:r>
              <w:rPr>
                <w:rFonts w:ascii="Arial" w:hAnsi="Arial" w:cs="Arial"/>
                <w:b/>
              </w:rPr>
              <w:t>S13(a) awards</w:t>
            </w:r>
          </w:p>
        </w:tc>
        <w:tc>
          <w:tcPr>
            <w:tcW w:w="5076" w:type="dxa"/>
          </w:tcPr>
          <w:p w:rsidR="009628A4" w:rsidRDefault="008B5FBC">
            <w:pPr>
              <w:rPr>
                <w:rFonts w:ascii="Arial" w:hAnsi="Arial" w:cs="Arial"/>
              </w:rPr>
            </w:pPr>
            <w:r>
              <w:rPr>
                <w:rFonts w:ascii="Arial" w:hAnsi="Arial" w:cs="Arial"/>
              </w:rPr>
              <w:t xml:space="preserve">No official update on whether same policy will continue next year regarding Section 13 (a) awards for those experiencing hardship and no longer entitled to full CTR. The system is currently working well and likely to continue. </w:t>
            </w:r>
          </w:p>
          <w:p w:rsidR="008B5FBC" w:rsidRDefault="008B5FBC">
            <w:pPr>
              <w:rPr>
                <w:rFonts w:ascii="Arial" w:hAnsi="Arial" w:cs="Arial"/>
              </w:rPr>
            </w:pPr>
          </w:p>
          <w:p w:rsidR="008B5FBC" w:rsidRDefault="002D21B1">
            <w:pPr>
              <w:rPr>
                <w:rFonts w:ascii="Arial" w:hAnsi="Arial" w:cs="Arial"/>
              </w:rPr>
            </w:pPr>
            <w:r>
              <w:rPr>
                <w:rFonts w:ascii="Arial" w:hAnsi="Arial" w:cs="Arial"/>
              </w:rPr>
              <w:t xml:space="preserve">None of the agencies present have had any clients present with </w:t>
            </w:r>
            <w:r w:rsidR="00A66CA2">
              <w:rPr>
                <w:rFonts w:ascii="Arial" w:hAnsi="Arial" w:cs="Arial"/>
              </w:rPr>
              <w:t xml:space="preserve">a problem regarding disabled non-dependent deductions. </w:t>
            </w:r>
          </w:p>
          <w:p w:rsidR="00072C1D" w:rsidRDefault="00072C1D">
            <w:pPr>
              <w:rPr>
                <w:rFonts w:ascii="Arial" w:hAnsi="Arial" w:cs="Arial"/>
              </w:rPr>
            </w:pPr>
            <w:r>
              <w:rPr>
                <w:rFonts w:ascii="Arial" w:hAnsi="Arial" w:cs="Arial"/>
              </w:rPr>
              <w:t xml:space="preserve"> </w:t>
            </w:r>
          </w:p>
        </w:tc>
        <w:tc>
          <w:tcPr>
            <w:tcW w:w="1745" w:type="dxa"/>
          </w:tcPr>
          <w:p w:rsidR="004E3243" w:rsidRDefault="004E3243">
            <w:pPr>
              <w:rPr>
                <w:rFonts w:ascii="Arial" w:hAnsi="Arial" w:cs="Arial"/>
              </w:rPr>
            </w:pPr>
          </w:p>
        </w:tc>
      </w:tr>
      <w:tr w:rsidR="004E3243" w:rsidTr="009D6977">
        <w:tc>
          <w:tcPr>
            <w:tcW w:w="2195" w:type="dxa"/>
          </w:tcPr>
          <w:p w:rsidR="004E3243" w:rsidRPr="00072C1D" w:rsidRDefault="00E31FC5" w:rsidP="00072C1D">
            <w:pPr>
              <w:pStyle w:val="ListParagraph"/>
              <w:numPr>
                <w:ilvl w:val="0"/>
                <w:numId w:val="1"/>
              </w:numPr>
              <w:rPr>
                <w:rFonts w:ascii="Arial" w:hAnsi="Arial" w:cs="Arial"/>
                <w:b/>
              </w:rPr>
            </w:pPr>
            <w:r>
              <w:rPr>
                <w:rFonts w:ascii="Arial" w:hAnsi="Arial" w:cs="Arial"/>
                <w:b/>
              </w:rPr>
              <w:t>AOB</w:t>
            </w:r>
          </w:p>
        </w:tc>
        <w:tc>
          <w:tcPr>
            <w:tcW w:w="5076" w:type="dxa"/>
          </w:tcPr>
          <w:p w:rsidR="003D01AA" w:rsidRDefault="00E31FC5">
            <w:pPr>
              <w:rPr>
                <w:rFonts w:ascii="Arial" w:hAnsi="Arial" w:cs="Arial"/>
              </w:rPr>
            </w:pPr>
            <w:r>
              <w:rPr>
                <w:rFonts w:ascii="Arial" w:hAnsi="Arial" w:cs="Arial"/>
              </w:rPr>
              <w:t xml:space="preserve">Bailiff retendering is ongoing if any agencies wish to feed any examples of good or bad practice into this. </w:t>
            </w:r>
          </w:p>
          <w:p w:rsidR="00E31FC5" w:rsidRDefault="00E31FC5">
            <w:pPr>
              <w:rPr>
                <w:rFonts w:ascii="Arial" w:hAnsi="Arial" w:cs="Arial"/>
              </w:rPr>
            </w:pPr>
          </w:p>
          <w:p w:rsidR="00E31FC5" w:rsidRDefault="00E31FC5">
            <w:pPr>
              <w:rPr>
                <w:rFonts w:ascii="Arial" w:hAnsi="Arial" w:cs="Arial"/>
              </w:rPr>
            </w:pPr>
            <w:r>
              <w:rPr>
                <w:rFonts w:ascii="Arial" w:hAnsi="Arial" w:cs="Arial"/>
              </w:rPr>
              <w:lastRenderedPageBreak/>
              <w:t xml:space="preserve">Fair Finance – Report on Affordable Credit </w:t>
            </w:r>
            <w:r w:rsidR="00AC3EF1">
              <w:rPr>
                <w:rFonts w:ascii="Arial" w:hAnsi="Arial" w:cs="Arial"/>
              </w:rPr>
              <w:t>due to be published in April on project which helped 130 clients avoid pay day lenders.</w:t>
            </w:r>
          </w:p>
          <w:p w:rsidR="00AC3EF1" w:rsidRDefault="00AC3EF1">
            <w:pPr>
              <w:rPr>
                <w:rFonts w:ascii="Arial" w:hAnsi="Arial" w:cs="Arial"/>
              </w:rPr>
            </w:pPr>
            <w:r>
              <w:rPr>
                <w:rFonts w:ascii="Arial" w:hAnsi="Arial" w:cs="Arial"/>
              </w:rPr>
              <w:t xml:space="preserve">Also have ongoing financial capability </w:t>
            </w:r>
            <w:r w:rsidR="0013477D">
              <w:rPr>
                <w:rFonts w:ascii="Arial" w:hAnsi="Arial" w:cs="Arial"/>
              </w:rPr>
              <w:t xml:space="preserve">‘earn as you learn’ project underway and accepting referrals. </w:t>
            </w:r>
          </w:p>
          <w:p w:rsidR="0013477D" w:rsidRDefault="0013477D">
            <w:pPr>
              <w:rPr>
                <w:rFonts w:ascii="Arial" w:hAnsi="Arial" w:cs="Arial"/>
              </w:rPr>
            </w:pPr>
          </w:p>
          <w:p w:rsidR="0013477D" w:rsidRDefault="0013477D">
            <w:pPr>
              <w:rPr>
                <w:rFonts w:ascii="Arial" w:hAnsi="Arial" w:cs="Arial"/>
              </w:rPr>
            </w:pPr>
            <w:r>
              <w:rPr>
                <w:rFonts w:ascii="Arial" w:hAnsi="Arial" w:cs="Arial"/>
              </w:rPr>
              <w:t xml:space="preserve">Tower </w:t>
            </w:r>
            <w:r w:rsidR="00683195">
              <w:rPr>
                <w:rFonts w:ascii="Arial" w:hAnsi="Arial" w:cs="Arial"/>
              </w:rPr>
              <w:t xml:space="preserve">Hamlets looking to do another event like last year when sending out council tax notices. </w:t>
            </w:r>
          </w:p>
          <w:p w:rsidR="003D01AA" w:rsidRDefault="003D01AA">
            <w:pPr>
              <w:rPr>
                <w:rFonts w:ascii="Arial" w:hAnsi="Arial" w:cs="Arial"/>
              </w:rPr>
            </w:pPr>
          </w:p>
        </w:tc>
        <w:tc>
          <w:tcPr>
            <w:tcW w:w="1745" w:type="dxa"/>
          </w:tcPr>
          <w:p w:rsidR="004E3243" w:rsidRDefault="004E3243">
            <w:pPr>
              <w:rPr>
                <w:rFonts w:ascii="Arial" w:hAnsi="Arial" w:cs="Arial"/>
              </w:rPr>
            </w:pPr>
          </w:p>
        </w:tc>
      </w:tr>
      <w:tr w:rsidR="004E3243" w:rsidTr="009D6977">
        <w:tc>
          <w:tcPr>
            <w:tcW w:w="2195" w:type="dxa"/>
          </w:tcPr>
          <w:p w:rsidR="004E3243" w:rsidRPr="00E31FC5" w:rsidRDefault="004E3243" w:rsidP="00E31FC5">
            <w:pPr>
              <w:rPr>
                <w:rFonts w:ascii="Arial" w:hAnsi="Arial" w:cs="Arial"/>
                <w:b/>
              </w:rPr>
            </w:pPr>
          </w:p>
        </w:tc>
        <w:tc>
          <w:tcPr>
            <w:tcW w:w="5076" w:type="dxa"/>
          </w:tcPr>
          <w:p w:rsidR="009D6977" w:rsidRDefault="009D6977">
            <w:pPr>
              <w:rPr>
                <w:rFonts w:ascii="Arial" w:hAnsi="Arial" w:cs="Arial"/>
              </w:rPr>
            </w:pPr>
          </w:p>
          <w:p w:rsidR="009D6977" w:rsidRDefault="009D6977" w:rsidP="00A66CA2">
            <w:pPr>
              <w:rPr>
                <w:rFonts w:ascii="Arial" w:hAnsi="Arial" w:cs="Arial"/>
              </w:rPr>
            </w:pPr>
          </w:p>
        </w:tc>
        <w:tc>
          <w:tcPr>
            <w:tcW w:w="1745" w:type="dxa"/>
          </w:tcPr>
          <w:p w:rsidR="004E3243" w:rsidRDefault="004E3243">
            <w:pPr>
              <w:rPr>
                <w:rFonts w:ascii="Arial" w:hAnsi="Arial" w:cs="Arial"/>
              </w:rPr>
            </w:pPr>
          </w:p>
        </w:tc>
      </w:tr>
    </w:tbl>
    <w:p w:rsidR="004E3243" w:rsidRPr="004E3243" w:rsidRDefault="004E3243">
      <w:pPr>
        <w:rPr>
          <w:rFonts w:ascii="Arial" w:hAnsi="Arial" w:cs="Arial"/>
        </w:rPr>
      </w:pPr>
    </w:p>
    <w:sectPr w:rsidR="004E3243" w:rsidRPr="004E32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D44191"/>
    <w:multiLevelType w:val="hybridMultilevel"/>
    <w:tmpl w:val="7F2E92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243"/>
    <w:rsid w:val="0000008D"/>
    <w:rsid w:val="000373DB"/>
    <w:rsid w:val="00072C1D"/>
    <w:rsid w:val="0013477D"/>
    <w:rsid w:val="001D47C6"/>
    <w:rsid w:val="00203C1D"/>
    <w:rsid w:val="002D21B1"/>
    <w:rsid w:val="00356EF5"/>
    <w:rsid w:val="00391A51"/>
    <w:rsid w:val="003D01AA"/>
    <w:rsid w:val="003E3D56"/>
    <w:rsid w:val="003F419C"/>
    <w:rsid w:val="004378FD"/>
    <w:rsid w:val="004B4285"/>
    <w:rsid w:val="004E3243"/>
    <w:rsid w:val="00512ED5"/>
    <w:rsid w:val="00640FDF"/>
    <w:rsid w:val="00683195"/>
    <w:rsid w:val="006B27BE"/>
    <w:rsid w:val="006C2CEC"/>
    <w:rsid w:val="006F5C2C"/>
    <w:rsid w:val="007F57E7"/>
    <w:rsid w:val="00802E07"/>
    <w:rsid w:val="008B5FBC"/>
    <w:rsid w:val="008D34D1"/>
    <w:rsid w:val="008D590F"/>
    <w:rsid w:val="009224E0"/>
    <w:rsid w:val="009267E1"/>
    <w:rsid w:val="009628A4"/>
    <w:rsid w:val="009C426F"/>
    <w:rsid w:val="009D6977"/>
    <w:rsid w:val="00A66CA2"/>
    <w:rsid w:val="00AC0A79"/>
    <w:rsid w:val="00AC3EF1"/>
    <w:rsid w:val="00B7180A"/>
    <w:rsid w:val="00C329B2"/>
    <w:rsid w:val="00E31FC5"/>
    <w:rsid w:val="00E62E21"/>
    <w:rsid w:val="00F355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524561-59BF-4C80-B3A6-056FD104E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3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426F"/>
    <w:pPr>
      <w:ind w:left="720"/>
      <w:contextualSpacing/>
    </w:pPr>
  </w:style>
  <w:style w:type="character" w:styleId="Hyperlink">
    <w:name w:val="Hyperlink"/>
    <w:basedOn w:val="DefaultParagraphFont"/>
    <w:uiPriority w:val="99"/>
    <w:unhideWhenUsed/>
    <w:rsid w:val="004378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oniM@account3.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Crosby</dc:creator>
  <cp:keywords/>
  <dc:description/>
  <cp:lastModifiedBy>Jo Ellis</cp:lastModifiedBy>
  <cp:revision>2</cp:revision>
  <dcterms:created xsi:type="dcterms:W3CDTF">2018-03-28T14:02:00Z</dcterms:created>
  <dcterms:modified xsi:type="dcterms:W3CDTF">2018-03-28T14:02:00Z</dcterms:modified>
</cp:coreProperties>
</file>