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CED" w:rsidRDefault="00D40CED" w:rsidP="00D40CED">
      <w:pPr>
        <w:pStyle w:val="ydp27e880beyiv7211945953xxmsonormal"/>
        <w:jc w:val="center"/>
        <w:rPr>
          <w:rFonts w:ascii="Arial" w:hAnsi="Arial" w:cs="Arial"/>
          <w:b/>
          <w:bCs/>
          <w:color w:val="26282A"/>
          <w:sz w:val="20"/>
          <w:szCs w:val="20"/>
        </w:rPr>
      </w:pPr>
      <w:r>
        <w:rPr>
          <w:rFonts w:ascii="Arial" w:hAnsi="Arial" w:cs="Arial"/>
          <w:b/>
          <w:bCs/>
          <w:color w:val="26282A"/>
          <w:sz w:val="20"/>
          <w:szCs w:val="20"/>
        </w:rPr>
        <w:t xml:space="preserve">This is </w:t>
      </w:r>
      <w:r>
        <w:rPr>
          <w:rFonts w:ascii="Arial" w:hAnsi="Arial" w:cs="Arial"/>
          <w:b/>
          <w:bCs/>
          <w:color w:val="FF0000"/>
          <w:sz w:val="20"/>
          <w:szCs w:val="20"/>
        </w:rPr>
        <w:t>Tower Hamlets Community Advice Network</w:t>
      </w:r>
      <w:r>
        <w:rPr>
          <w:rFonts w:ascii="Arial" w:hAnsi="Arial" w:cs="Arial"/>
          <w:b/>
          <w:bCs/>
          <w:color w:val="26282A"/>
          <w:sz w:val="20"/>
          <w:szCs w:val="20"/>
        </w:rPr>
        <w:t xml:space="preserve">’s welfare rights advisors monthly information exchange, it is sent to around 200 individuals and organisations with an interest in welfare rights in Tower Hamlets and is available to see on the </w:t>
      </w:r>
      <w:hyperlink r:id="rId5" w:history="1">
        <w:r>
          <w:rPr>
            <w:rStyle w:val="Hyperlink"/>
            <w:rFonts w:ascii="Arial" w:hAnsi="Arial" w:cs="Arial"/>
            <w:b/>
            <w:bCs/>
            <w:sz w:val="20"/>
            <w:szCs w:val="20"/>
          </w:rPr>
          <w:t>www.thcan.org.uk</w:t>
        </w:r>
      </w:hyperlink>
      <w:r>
        <w:rPr>
          <w:rFonts w:ascii="Arial" w:hAnsi="Arial" w:cs="Arial"/>
          <w:b/>
          <w:bCs/>
          <w:color w:val="26282A"/>
          <w:sz w:val="20"/>
          <w:szCs w:val="20"/>
        </w:rPr>
        <w:t xml:space="preserve">  Up-to-date information on advice providers services and opening times are available on the website</w:t>
      </w:r>
    </w:p>
    <w:p w:rsidR="00D40CED" w:rsidRDefault="00D40CED" w:rsidP="00D40CED">
      <w:pPr>
        <w:pStyle w:val="NoSpacing"/>
        <w:rPr>
          <w:b/>
          <w:bCs/>
          <w:color w:val="1F497D"/>
          <w:u w:val="single"/>
        </w:rPr>
      </w:pPr>
    </w:p>
    <w:p w:rsidR="00D40CED" w:rsidRDefault="00D40CED" w:rsidP="00D40CED">
      <w:pPr>
        <w:pStyle w:val="NoSpacing"/>
        <w:rPr>
          <w:sz w:val="28"/>
          <w:szCs w:val="28"/>
        </w:rPr>
      </w:pPr>
      <w:r>
        <w:rPr>
          <w:b/>
          <w:bCs/>
          <w:color w:val="FF0000"/>
          <w:sz w:val="28"/>
          <w:szCs w:val="28"/>
          <w:u w:val="single"/>
        </w:rPr>
        <w:t>Welfare Rights Advisors Forum   Thursday 7</w:t>
      </w:r>
      <w:r>
        <w:rPr>
          <w:b/>
          <w:bCs/>
          <w:color w:val="FF0000"/>
          <w:sz w:val="28"/>
          <w:szCs w:val="28"/>
          <w:u w:val="single"/>
          <w:vertAlign w:val="superscript"/>
        </w:rPr>
        <w:t>th</w:t>
      </w:r>
      <w:r>
        <w:rPr>
          <w:b/>
          <w:bCs/>
          <w:color w:val="FF0000"/>
          <w:sz w:val="28"/>
          <w:szCs w:val="28"/>
          <w:u w:val="single"/>
        </w:rPr>
        <w:t xml:space="preserve"> March 2 - 4.30 pm</w:t>
      </w:r>
      <w:r>
        <w:rPr>
          <w:color w:val="FF0000"/>
          <w:sz w:val="28"/>
          <w:szCs w:val="28"/>
        </w:rPr>
        <w:t xml:space="preserve">         </w:t>
      </w:r>
      <w:r>
        <w:rPr>
          <w:b/>
          <w:bCs/>
          <w:sz w:val="28"/>
          <w:szCs w:val="28"/>
          <w:u w:val="single"/>
        </w:rPr>
        <w:t>VENUE</w:t>
      </w:r>
      <w:r>
        <w:rPr>
          <w:color w:val="FF0000"/>
          <w:sz w:val="28"/>
          <w:szCs w:val="28"/>
        </w:rPr>
        <w:t xml:space="preserve">            </w:t>
      </w:r>
      <w:r>
        <w:rPr>
          <w:b/>
          <w:bCs/>
          <w:sz w:val="28"/>
          <w:szCs w:val="28"/>
          <w:u w:val="single"/>
        </w:rPr>
        <w:t xml:space="preserve">Carers Centre, 21 </w:t>
      </w:r>
      <w:proofErr w:type="spellStart"/>
      <w:r>
        <w:rPr>
          <w:b/>
          <w:bCs/>
          <w:sz w:val="28"/>
          <w:szCs w:val="28"/>
          <w:u w:val="single"/>
        </w:rPr>
        <w:t>Brayford</w:t>
      </w:r>
      <w:proofErr w:type="spellEnd"/>
      <w:r>
        <w:rPr>
          <w:b/>
          <w:bCs/>
          <w:sz w:val="28"/>
          <w:szCs w:val="28"/>
          <w:u w:val="single"/>
        </w:rPr>
        <w:t xml:space="preserve"> Square, Stepney Green, London E1 0SG</w:t>
      </w:r>
    </w:p>
    <w:p w:rsidR="00D40CED" w:rsidRDefault="00D40CED" w:rsidP="00D40CED">
      <w:pPr>
        <w:pStyle w:val="NoSpacing"/>
        <w:rPr>
          <w:sz w:val="28"/>
          <w:szCs w:val="28"/>
        </w:rPr>
      </w:pPr>
    </w:p>
    <w:p w:rsidR="00D40CED" w:rsidRDefault="00D40CED" w:rsidP="00D40CED">
      <w:pPr>
        <w:pStyle w:val="NoSpacing"/>
        <w:rPr>
          <w:b/>
          <w:bCs/>
          <w:u w:val="single"/>
        </w:rPr>
      </w:pPr>
      <w:r>
        <w:rPr>
          <w:b/>
          <w:bCs/>
          <w:u w:val="single"/>
        </w:rPr>
        <w:t>Agenda</w:t>
      </w:r>
    </w:p>
    <w:p w:rsidR="00D40CED" w:rsidRDefault="00D40CED" w:rsidP="00D40CED">
      <w:pPr>
        <w:pStyle w:val="NoSpacing"/>
        <w:rPr>
          <w:b/>
          <w:bCs/>
          <w:u w:val="single"/>
        </w:rPr>
      </w:pPr>
    </w:p>
    <w:p w:rsidR="00D40CED" w:rsidRDefault="00D40CED" w:rsidP="00D40CED">
      <w:pPr>
        <w:spacing w:after="0" w:line="240" w:lineRule="auto"/>
        <w:rPr>
          <w:b/>
          <w:bCs/>
          <w:lang w:eastAsia="en-GB"/>
        </w:rPr>
      </w:pPr>
      <w:r>
        <w:t>2pm    CPAG presentation                         Welfare Rights Benefit updates/changes   </w:t>
      </w:r>
      <w:r>
        <w:rPr>
          <w:lang w:eastAsia="en-GB"/>
        </w:rPr>
        <w:t>Owen Stevens - London Universal Credit Adviser</w:t>
      </w:r>
    </w:p>
    <w:p w:rsidR="00D40CED" w:rsidRDefault="00D40CED" w:rsidP="00D40CED">
      <w:pPr>
        <w:spacing w:after="0" w:line="240" w:lineRule="auto"/>
      </w:pPr>
      <w:r>
        <w:t>3pm    Real Presentation                            Paying for Social Care – LBTH now for adult social care services that used to be free before 2017 – information on how financial assessments are</w:t>
      </w:r>
    </w:p>
    <w:p w:rsidR="00D40CED" w:rsidRDefault="00341481" w:rsidP="00D40CED">
      <w:pPr>
        <w:spacing w:after="0" w:line="240" w:lineRule="auto"/>
        <w:ind w:left="3600" w:firstLine="720"/>
      </w:pPr>
      <w:r>
        <w:t>Calculated/challenged</w:t>
      </w:r>
    </w:p>
    <w:p w:rsidR="00D40CED" w:rsidRDefault="00D40CED" w:rsidP="00D40CED">
      <w:pPr>
        <w:spacing w:after="0" w:line="240" w:lineRule="auto"/>
      </w:pPr>
      <w:r>
        <w:t>4pm    Resident Support Scheme             Discussion and comments on how we are finding the new application/awards process</w:t>
      </w:r>
    </w:p>
    <w:p w:rsidR="00D40CED" w:rsidRDefault="00D40CED" w:rsidP="00D40CED">
      <w:pPr>
        <w:spacing w:after="0" w:line="240" w:lineRule="auto"/>
      </w:pPr>
      <w:r>
        <w:t xml:space="preserve">4.15    Any other business </w:t>
      </w:r>
    </w:p>
    <w:p w:rsidR="00D40CED" w:rsidRDefault="00D40CED" w:rsidP="00D40CED">
      <w:pPr>
        <w:spacing w:after="0" w:line="240" w:lineRule="auto"/>
        <w:ind w:firstLine="720"/>
      </w:pPr>
      <w:r>
        <w:t>information share</w:t>
      </w:r>
    </w:p>
    <w:p w:rsidR="00D40CED" w:rsidRDefault="00D40CED" w:rsidP="00D40CED">
      <w:pPr>
        <w:pStyle w:val="NoSpacing"/>
        <w:rPr>
          <w:b/>
          <w:bCs/>
          <w:color w:val="1F497D"/>
          <w:u w:val="single"/>
        </w:rPr>
      </w:pPr>
    </w:p>
    <w:p w:rsidR="00D40CED" w:rsidRDefault="00D40CED" w:rsidP="00D40CED">
      <w:pPr>
        <w:pStyle w:val="NoSpacing"/>
        <w:rPr>
          <w:b/>
          <w:bCs/>
          <w:color w:val="1F497D"/>
          <w:u w:val="single"/>
        </w:rPr>
      </w:pPr>
    </w:p>
    <w:p w:rsidR="00D40CED" w:rsidRDefault="00D40CED" w:rsidP="00D40CED">
      <w:pPr>
        <w:pStyle w:val="NoSpacing"/>
        <w:rPr>
          <w:color w:val="FF0000"/>
          <w:sz w:val="28"/>
          <w:szCs w:val="28"/>
        </w:rPr>
      </w:pPr>
      <w:r>
        <w:rPr>
          <w:b/>
          <w:bCs/>
          <w:color w:val="FF0000"/>
          <w:sz w:val="28"/>
          <w:szCs w:val="28"/>
          <w:u w:val="single"/>
        </w:rPr>
        <w:t>Free Training Sessions</w:t>
      </w:r>
      <w:r>
        <w:rPr>
          <w:color w:val="FF0000"/>
          <w:sz w:val="28"/>
          <w:szCs w:val="28"/>
        </w:rPr>
        <w:t xml:space="preserve">  </w:t>
      </w:r>
    </w:p>
    <w:p w:rsidR="00D40CED" w:rsidRDefault="00D40CED" w:rsidP="00D40CED">
      <w:pPr>
        <w:pStyle w:val="NoSpacing"/>
        <w:rPr>
          <w:b/>
          <w:bCs/>
          <w:color w:val="1F497D"/>
          <w:u w:val="single"/>
        </w:rPr>
      </w:pPr>
    </w:p>
    <w:tbl>
      <w:tblPr>
        <w:tblW w:w="0" w:type="dxa"/>
        <w:tblInd w:w="93" w:type="dxa"/>
        <w:tblCellMar>
          <w:left w:w="0" w:type="dxa"/>
          <w:right w:w="0" w:type="dxa"/>
        </w:tblCellMar>
        <w:tblLook w:val="04A0" w:firstRow="1" w:lastRow="0" w:firstColumn="1" w:lastColumn="0" w:noHBand="0" w:noVBand="1"/>
      </w:tblPr>
      <w:tblGrid>
        <w:gridCol w:w="1605"/>
        <w:gridCol w:w="4325"/>
        <w:gridCol w:w="1447"/>
        <w:gridCol w:w="1536"/>
      </w:tblGrid>
      <w:tr w:rsidR="00D40CED" w:rsidTr="00D40CED">
        <w:trPr>
          <w:trHeight w:val="1"/>
        </w:trPr>
        <w:tc>
          <w:tcPr>
            <w:tcW w:w="22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40CED" w:rsidRDefault="00D40CED">
            <w:pPr>
              <w:spacing w:after="0" w:line="240" w:lineRule="auto"/>
              <w:rPr>
                <w:b/>
                <w:bCs/>
                <w:lang w:eastAsia="en-GB"/>
              </w:rPr>
            </w:pPr>
            <w:r>
              <w:rPr>
                <w:b/>
                <w:bCs/>
              </w:rPr>
              <w:t xml:space="preserve">Housing Costs </w:t>
            </w:r>
          </w:p>
          <w:p w:rsidR="00D40CED" w:rsidRDefault="00D40CED">
            <w:pPr>
              <w:spacing w:after="0" w:line="240" w:lineRule="auto"/>
            </w:pPr>
          </w:p>
          <w:p w:rsidR="00D40CED" w:rsidRDefault="00D40CED">
            <w:pPr>
              <w:spacing w:after="0" w:line="240" w:lineRule="auto"/>
            </w:pPr>
            <w:r>
              <w:t>2 hour workshop</w:t>
            </w:r>
          </w:p>
          <w:p w:rsidR="00D40CED" w:rsidRDefault="00D40CED">
            <w:pPr>
              <w:spacing w:after="0" w:line="240" w:lineRule="auto"/>
              <w:rPr>
                <w:b/>
                <w:bCs/>
              </w:rPr>
            </w:pPr>
          </w:p>
        </w:tc>
        <w:tc>
          <w:tcPr>
            <w:tcW w:w="779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40CED" w:rsidRDefault="00D40CED">
            <w:pPr>
              <w:numPr>
                <w:ilvl w:val="0"/>
                <w:numId w:val="1"/>
              </w:numPr>
              <w:spacing w:after="0" w:line="240" w:lineRule="auto"/>
              <w:ind w:left="360" w:hanging="360"/>
            </w:pPr>
            <w:r>
              <w:rPr>
                <w:shd w:val="clear" w:color="auto" w:fill="FFFFFF"/>
              </w:rPr>
              <w:t>Renting and Homeowners entitlement to help with rent/housing costs</w:t>
            </w:r>
          </w:p>
          <w:p w:rsidR="00D40CED" w:rsidRDefault="00D40CED">
            <w:pPr>
              <w:numPr>
                <w:ilvl w:val="0"/>
                <w:numId w:val="1"/>
              </w:numPr>
              <w:spacing w:after="0" w:line="240" w:lineRule="auto"/>
              <w:ind w:left="360" w:hanging="360"/>
              <w:rPr>
                <w:shd w:val="clear" w:color="auto" w:fill="FFFFFF"/>
              </w:rPr>
            </w:pPr>
            <w:r>
              <w:rPr>
                <w:shd w:val="clear" w:color="auto" w:fill="FFFFFF"/>
              </w:rPr>
              <w:t>whose entitled, how’s it calculated</w:t>
            </w:r>
          </w:p>
          <w:p w:rsidR="00D40CED" w:rsidRDefault="00D40CED">
            <w:pPr>
              <w:numPr>
                <w:ilvl w:val="0"/>
                <w:numId w:val="1"/>
              </w:numPr>
              <w:spacing w:after="0" w:line="240" w:lineRule="auto"/>
              <w:ind w:left="360" w:hanging="360"/>
              <w:rPr>
                <w:shd w:val="clear" w:color="auto" w:fill="FFFFFF"/>
              </w:rPr>
            </w:pPr>
            <w:r>
              <w:rPr>
                <w:shd w:val="clear" w:color="auto" w:fill="FFFFFF"/>
              </w:rPr>
              <w:t>Non-dependent deductions</w:t>
            </w:r>
          </w:p>
          <w:p w:rsidR="00D40CED" w:rsidRDefault="00D40CED">
            <w:pPr>
              <w:numPr>
                <w:ilvl w:val="0"/>
                <w:numId w:val="1"/>
              </w:numPr>
              <w:spacing w:after="0" w:line="240" w:lineRule="auto"/>
              <w:ind w:left="360" w:hanging="360"/>
            </w:pPr>
            <w:r>
              <w:rPr>
                <w:shd w:val="clear" w:color="auto" w:fill="FFFFFF"/>
              </w:rPr>
              <w:t>Bedroom tax</w:t>
            </w:r>
          </w:p>
          <w:p w:rsidR="00D40CED" w:rsidRDefault="00D40CED">
            <w:pPr>
              <w:spacing w:after="0" w:line="240" w:lineRule="auto"/>
              <w:rPr>
                <w:color w:val="1F497D"/>
                <w:shd w:val="clear" w:color="auto" w:fill="FFFFFF"/>
              </w:rPr>
            </w:pPr>
            <w:r>
              <w:rPr>
                <w:b/>
                <w:bCs/>
                <w:u w:val="single"/>
                <w:shd w:val="clear" w:color="auto" w:fill="FFFFFF"/>
              </w:rPr>
              <w:t>Suitable for</w:t>
            </w:r>
            <w:r>
              <w:rPr>
                <w:shd w:val="clear" w:color="auto" w:fill="FFFFFF"/>
              </w:rPr>
              <w:t xml:space="preserve"> Benefit/advice workers with some knowledge of benefit system</w:t>
            </w:r>
          </w:p>
        </w:tc>
        <w:tc>
          <w:tcPr>
            <w:tcW w:w="201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40CED" w:rsidRDefault="00D40CED">
            <w:pPr>
              <w:spacing w:after="0" w:line="240" w:lineRule="auto"/>
            </w:pPr>
            <w:r>
              <w:t>Island Advice</w:t>
            </w:r>
          </w:p>
          <w:p w:rsidR="00D40CED" w:rsidRDefault="00D40CED">
            <w:pPr>
              <w:spacing w:after="0" w:line="240" w:lineRule="auto"/>
            </w:pPr>
            <w:r>
              <w:t>Island House</w:t>
            </w:r>
          </w:p>
          <w:p w:rsidR="00D40CED" w:rsidRDefault="00D40CED">
            <w:pPr>
              <w:spacing w:after="0" w:line="240" w:lineRule="auto"/>
            </w:pPr>
            <w:proofErr w:type="spellStart"/>
            <w:r>
              <w:t>Roserton</w:t>
            </w:r>
            <w:proofErr w:type="spellEnd"/>
            <w:r>
              <w:t xml:space="preserve"> Street</w:t>
            </w:r>
          </w:p>
          <w:p w:rsidR="00D40CED" w:rsidRDefault="00D40CED">
            <w:pPr>
              <w:spacing w:after="0" w:line="240" w:lineRule="auto"/>
            </w:pPr>
            <w:r>
              <w:t>E14 3PG</w:t>
            </w:r>
          </w:p>
        </w:tc>
        <w:tc>
          <w:tcPr>
            <w:tcW w:w="223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40CED" w:rsidRDefault="00D40CED">
            <w:pPr>
              <w:spacing w:after="0" w:line="240" w:lineRule="auto"/>
            </w:pPr>
            <w:r>
              <w:t>Fatima Begum</w:t>
            </w:r>
          </w:p>
          <w:p w:rsidR="00D40CED" w:rsidRDefault="00D40CED">
            <w:pPr>
              <w:spacing w:after="0" w:line="240" w:lineRule="auto"/>
            </w:pPr>
            <w:r>
              <w:t>14</w:t>
            </w:r>
            <w:r>
              <w:rPr>
                <w:vertAlign w:val="superscript"/>
              </w:rPr>
              <w:t>th</w:t>
            </w:r>
            <w:r>
              <w:t xml:space="preserve"> March </w:t>
            </w:r>
          </w:p>
          <w:p w:rsidR="00D40CED" w:rsidRDefault="00D40CED">
            <w:pPr>
              <w:spacing w:after="0" w:line="240" w:lineRule="auto"/>
            </w:pPr>
            <w:r>
              <w:t>1-4pm</w:t>
            </w:r>
          </w:p>
        </w:tc>
      </w:tr>
      <w:tr w:rsidR="00D40CED" w:rsidTr="00D40CED">
        <w:trPr>
          <w:trHeight w:val="1"/>
        </w:trPr>
        <w:tc>
          <w:tcPr>
            <w:tcW w:w="228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40CED" w:rsidRDefault="00D40CED">
            <w:pPr>
              <w:spacing w:after="0" w:line="240" w:lineRule="auto"/>
              <w:rPr>
                <w:b/>
                <w:bCs/>
              </w:rPr>
            </w:pPr>
            <w:r>
              <w:rPr>
                <w:b/>
                <w:bCs/>
              </w:rPr>
              <w:t>Welfare Rights Overview</w:t>
            </w:r>
          </w:p>
          <w:p w:rsidR="00D40CED" w:rsidRDefault="00D40CED">
            <w:pPr>
              <w:spacing w:after="0" w:line="240" w:lineRule="auto"/>
            </w:pPr>
          </w:p>
          <w:p w:rsidR="00D40CED" w:rsidRDefault="00D40CED">
            <w:pPr>
              <w:spacing w:after="0" w:line="240" w:lineRule="auto"/>
              <w:rPr>
                <w:b/>
                <w:bCs/>
              </w:rPr>
            </w:pPr>
            <w:r>
              <w:t>One day</w:t>
            </w:r>
          </w:p>
        </w:tc>
        <w:tc>
          <w:tcPr>
            <w:tcW w:w="77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40CED" w:rsidRDefault="00D40CED">
            <w:pPr>
              <w:numPr>
                <w:ilvl w:val="0"/>
                <w:numId w:val="2"/>
              </w:numPr>
              <w:spacing w:after="0" w:line="240" w:lineRule="auto"/>
              <w:ind w:left="360" w:hanging="360"/>
            </w:pPr>
            <w:r>
              <w:t>overview of the benefits system</w:t>
            </w:r>
          </w:p>
          <w:p w:rsidR="00D40CED" w:rsidRDefault="00D40CED">
            <w:pPr>
              <w:numPr>
                <w:ilvl w:val="0"/>
                <w:numId w:val="2"/>
              </w:numPr>
              <w:spacing w:after="0" w:line="240" w:lineRule="auto"/>
              <w:ind w:left="360" w:hanging="360"/>
            </w:pPr>
            <w:r>
              <w:t>check which benefits your clients may be entitled to</w:t>
            </w:r>
          </w:p>
          <w:p w:rsidR="00D40CED" w:rsidRDefault="00D40CED">
            <w:pPr>
              <w:numPr>
                <w:ilvl w:val="0"/>
                <w:numId w:val="2"/>
              </w:numPr>
              <w:spacing w:after="0" w:line="240" w:lineRule="auto"/>
              <w:ind w:left="360" w:hanging="360"/>
            </w:pPr>
            <w:r>
              <w:t>use CPAG handbook/resources</w:t>
            </w:r>
          </w:p>
          <w:p w:rsidR="00D40CED" w:rsidRDefault="00D40CED">
            <w:pPr>
              <w:numPr>
                <w:ilvl w:val="0"/>
                <w:numId w:val="2"/>
              </w:numPr>
              <w:spacing w:after="0" w:line="240" w:lineRule="auto"/>
              <w:ind w:left="360" w:hanging="360"/>
            </w:pPr>
            <w:r>
              <w:t>online calculations and claims</w:t>
            </w:r>
          </w:p>
          <w:p w:rsidR="00D40CED" w:rsidRDefault="00D40CED">
            <w:pPr>
              <w:spacing w:after="0" w:line="240" w:lineRule="auto"/>
            </w:pPr>
            <w:r>
              <w:rPr>
                <w:b/>
                <w:bCs/>
                <w:u w:val="single"/>
              </w:rPr>
              <w:t>Suitable for</w:t>
            </w:r>
            <w:r>
              <w:t xml:space="preserve"> new volunteers and support workers with little or no experience in benefits</w:t>
            </w:r>
          </w:p>
        </w:tc>
        <w:tc>
          <w:tcPr>
            <w:tcW w:w="20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40CED" w:rsidRDefault="00D40CED">
            <w:pPr>
              <w:spacing w:after="0" w:line="240" w:lineRule="auto"/>
            </w:pPr>
            <w:r>
              <w:t>Island Advice</w:t>
            </w:r>
          </w:p>
          <w:p w:rsidR="00D40CED" w:rsidRDefault="00D40CED">
            <w:pPr>
              <w:spacing w:after="0" w:line="240" w:lineRule="auto"/>
            </w:pPr>
            <w:r>
              <w:t>Island House</w:t>
            </w:r>
          </w:p>
          <w:p w:rsidR="00D40CED" w:rsidRDefault="00D40CED">
            <w:pPr>
              <w:spacing w:after="0" w:line="240" w:lineRule="auto"/>
            </w:pPr>
            <w:proofErr w:type="spellStart"/>
            <w:r>
              <w:t>Roserton</w:t>
            </w:r>
            <w:proofErr w:type="spellEnd"/>
            <w:r>
              <w:t xml:space="preserve"> Street</w:t>
            </w:r>
          </w:p>
          <w:p w:rsidR="00D40CED" w:rsidRDefault="00D40CED">
            <w:pPr>
              <w:spacing w:after="0" w:line="240" w:lineRule="auto"/>
            </w:pPr>
            <w:r>
              <w:t>E14 3PG</w:t>
            </w:r>
          </w:p>
        </w:tc>
        <w:tc>
          <w:tcPr>
            <w:tcW w:w="22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40CED" w:rsidRDefault="00D40CED">
            <w:pPr>
              <w:spacing w:after="0" w:line="240" w:lineRule="auto"/>
            </w:pPr>
            <w:r>
              <w:t>Jo Ellis</w:t>
            </w:r>
          </w:p>
          <w:p w:rsidR="00D40CED" w:rsidRDefault="00D40CED">
            <w:pPr>
              <w:spacing w:after="0" w:line="240" w:lineRule="auto"/>
            </w:pPr>
            <w:r>
              <w:t>Thursday</w:t>
            </w:r>
          </w:p>
          <w:p w:rsidR="00D40CED" w:rsidRDefault="00D40CED">
            <w:pPr>
              <w:spacing w:after="0" w:line="240" w:lineRule="auto"/>
            </w:pPr>
            <w:r>
              <w:t>11</w:t>
            </w:r>
            <w:r>
              <w:rPr>
                <w:vertAlign w:val="superscript"/>
              </w:rPr>
              <w:t>th</w:t>
            </w:r>
            <w:r>
              <w:t xml:space="preserve"> April </w:t>
            </w:r>
          </w:p>
          <w:p w:rsidR="00D40CED" w:rsidRDefault="00D40CED">
            <w:pPr>
              <w:spacing w:after="0" w:line="240" w:lineRule="auto"/>
            </w:pPr>
            <w:r>
              <w:t xml:space="preserve">10am – 4pm </w:t>
            </w:r>
          </w:p>
        </w:tc>
      </w:tr>
      <w:tr w:rsidR="00D40CED" w:rsidTr="00D40CED">
        <w:trPr>
          <w:trHeight w:val="1"/>
        </w:trPr>
        <w:tc>
          <w:tcPr>
            <w:tcW w:w="228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40CED" w:rsidRDefault="00D40CED">
            <w:pPr>
              <w:spacing w:after="0" w:line="240" w:lineRule="auto"/>
              <w:rPr>
                <w:b/>
                <w:bCs/>
              </w:rPr>
            </w:pPr>
            <w:r>
              <w:rPr>
                <w:b/>
                <w:bCs/>
              </w:rPr>
              <w:t xml:space="preserve">Universal Credit </w:t>
            </w:r>
          </w:p>
          <w:p w:rsidR="00D40CED" w:rsidRDefault="00D40CED">
            <w:pPr>
              <w:spacing w:after="0" w:line="240" w:lineRule="auto"/>
            </w:pPr>
          </w:p>
          <w:p w:rsidR="00D40CED" w:rsidRDefault="00D40CED">
            <w:pPr>
              <w:spacing w:after="0" w:line="240" w:lineRule="auto"/>
            </w:pPr>
            <w:r>
              <w:t>½ day workshop</w:t>
            </w:r>
          </w:p>
        </w:tc>
        <w:tc>
          <w:tcPr>
            <w:tcW w:w="77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40CED" w:rsidRDefault="00D40CED">
            <w:pPr>
              <w:numPr>
                <w:ilvl w:val="0"/>
                <w:numId w:val="2"/>
              </w:numPr>
              <w:spacing w:after="0" w:line="240" w:lineRule="auto"/>
              <w:ind w:left="360" w:hanging="360"/>
            </w:pPr>
            <w:r>
              <w:t>General information about this new benefit including: claims, migration, conditionality, sanctions</w:t>
            </w:r>
          </w:p>
          <w:p w:rsidR="00D40CED" w:rsidRDefault="00D40CED">
            <w:pPr>
              <w:spacing w:after="0" w:line="240" w:lineRule="auto"/>
            </w:pPr>
            <w:r>
              <w:rPr>
                <w:b/>
                <w:bCs/>
                <w:u w:val="single"/>
              </w:rPr>
              <w:t>Suitable for</w:t>
            </w:r>
            <w:r>
              <w:t xml:space="preserve"> basic session but suitable for anyone including benefit advisors </w:t>
            </w:r>
          </w:p>
        </w:tc>
        <w:tc>
          <w:tcPr>
            <w:tcW w:w="20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40CED" w:rsidRDefault="00D40CED">
            <w:pPr>
              <w:spacing w:after="0" w:line="240" w:lineRule="auto"/>
            </w:pPr>
            <w:r>
              <w:t>Island Advice</w:t>
            </w:r>
          </w:p>
          <w:p w:rsidR="00D40CED" w:rsidRDefault="00D40CED">
            <w:pPr>
              <w:spacing w:after="0" w:line="240" w:lineRule="auto"/>
            </w:pPr>
            <w:r>
              <w:t>Island House</w:t>
            </w:r>
          </w:p>
          <w:p w:rsidR="00D40CED" w:rsidRDefault="00D40CED">
            <w:pPr>
              <w:spacing w:after="0" w:line="240" w:lineRule="auto"/>
            </w:pPr>
            <w:proofErr w:type="spellStart"/>
            <w:r>
              <w:t>Roserton</w:t>
            </w:r>
            <w:proofErr w:type="spellEnd"/>
            <w:r>
              <w:t xml:space="preserve"> Street</w:t>
            </w:r>
          </w:p>
          <w:p w:rsidR="00D40CED" w:rsidRDefault="00D40CED">
            <w:pPr>
              <w:spacing w:after="0" w:line="240" w:lineRule="auto"/>
              <w:rPr>
                <w:color w:val="FF0000"/>
              </w:rPr>
            </w:pPr>
            <w:r>
              <w:t>E14 3PG</w:t>
            </w:r>
          </w:p>
        </w:tc>
        <w:tc>
          <w:tcPr>
            <w:tcW w:w="22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40CED" w:rsidRDefault="00D40CED">
            <w:pPr>
              <w:spacing w:after="0" w:line="240" w:lineRule="auto"/>
            </w:pPr>
            <w:r>
              <w:t>Fatima Begum</w:t>
            </w:r>
          </w:p>
          <w:p w:rsidR="00D40CED" w:rsidRDefault="00D40CED">
            <w:pPr>
              <w:spacing w:after="0" w:line="240" w:lineRule="auto"/>
            </w:pPr>
            <w:r>
              <w:t>9</w:t>
            </w:r>
            <w:r>
              <w:rPr>
                <w:vertAlign w:val="superscript"/>
              </w:rPr>
              <w:t>th</w:t>
            </w:r>
            <w:r>
              <w:t xml:space="preserve"> May</w:t>
            </w:r>
          </w:p>
          <w:p w:rsidR="00D40CED" w:rsidRDefault="00D40CED">
            <w:pPr>
              <w:spacing w:after="0" w:line="240" w:lineRule="auto"/>
            </w:pPr>
            <w:r>
              <w:t>1-4pm</w:t>
            </w:r>
          </w:p>
        </w:tc>
      </w:tr>
    </w:tbl>
    <w:p w:rsidR="00D40CED" w:rsidRDefault="00D40CED" w:rsidP="00D40CED">
      <w:pPr>
        <w:pStyle w:val="NoSpacing"/>
        <w:rPr>
          <w:b/>
          <w:bCs/>
          <w:color w:val="1F497D"/>
          <w:u w:val="single"/>
        </w:rPr>
      </w:pPr>
    </w:p>
    <w:p w:rsidR="00D40CED" w:rsidRDefault="00D40CED" w:rsidP="00D40CED">
      <w:pPr>
        <w:pStyle w:val="NoSpacing"/>
      </w:pPr>
      <w:r>
        <w:rPr>
          <w:b/>
          <w:bCs/>
          <w:u w:val="single"/>
        </w:rPr>
        <w:t>Email</w:t>
      </w:r>
      <w:r>
        <w:t xml:space="preserve"> </w:t>
      </w:r>
      <w:hyperlink r:id="rId6" w:history="1">
        <w:r>
          <w:rPr>
            <w:rStyle w:val="Hyperlink"/>
            <w:color w:val="auto"/>
          </w:rPr>
          <w:t>jo.ellis@island-advice.org.uk</w:t>
        </w:r>
      </w:hyperlink>
      <w:r>
        <w:t xml:space="preserve"> to book a place</w:t>
      </w:r>
    </w:p>
    <w:p w:rsidR="00D40CED" w:rsidRDefault="00D40CED" w:rsidP="00D40CED">
      <w:pPr>
        <w:pStyle w:val="NoSpacing"/>
      </w:pPr>
    </w:p>
    <w:p w:rsidR="00D40CED" w:rsidRDefault="00D40CED" w:rsidP="00D40CED">
      <w:pPr>
        <w:spacing w:after="0" w:line="240" w:lineRule="auto"/>
        <w:rPr>
          <w:color w:val="1F497D"/>
        </w:rPr>
      </w:pPr>
    </w:p>
    <w:p w:rsidR="00D40CED" w:rsidRDefault="00D40CED" w:rsidP="00D40CED">
      <w:pPr>
        <w:pStyle w:val="NoSpacing"/>
      </w:pPr>
    </w:p>
    <w:p w:rsidR="00D40CED" w:rsidRDefault="00D40CED" w:rsidP="00D40CED">
      <w:pPr>
        <w:pStyle w:val="NoSpacing"/>
        <w:rPr>
          <w:b/>
          <w:bCs/>
          <w:sz w:val="32"/>
          <w:szCs w:val="32"/>
          <w:u w:val="single"/>
        </w:rPr>
      </w:pPr>
      <w:r>
        <w:rPr>
          <w:b/>
          <w:bCs/>
          <w:color w:val="FF0000"/>
          <w:sz w:val="32"/>
          <w:szCs w:val="32"/>
          <w:u w:val="single"/>
        </w:rPr>
        <w:t>Benefit Up-dates</w:t>
      </w:r>
    </w:p>
    <w:p w:rsidR="00D40CED" w:rsidRDefault="00D40CED" w:rsidP="00D40CED">
      <w:pPr>
        <w:pStyle w:val="NoSpacing"/>
        <w:rPr>
          <w:color w:val="1F497D"/>
        </w:rPr>
      </w:pPr>
    </w:p>
    <w:p w:rsidR="00D40CED" w:rsidRDefault="00D40CED" w:rsidP="00D40CED">
      <w:pPr>
        <w:pStyle w:val="ListParagraph"/>
        <w:numPr>
          <w:ilvl w:val="0"/>
          <w:numId w:val="3"/>
        </w:numPr>
        <w:rPr>
          <w:lang w:val="en" w:eastAsia="en-GB"/>
        </w:rPr>
      </w:pPr>
      <w:r>
        <w:rPr>
          <w:lang w:val="en" w:eastAsia="en-GB"/>
        </w:rPr>
        <w:t>Will be available on next information email and also Welfare Rights Advisors Forum will be covering</w:t>
      </w:r>
    </w:p>
    <w:p w:rsidR="00D40CED" w:rsidRDefault="00D40CED" w:rsidP="00D40CED">
      <w:pPr>
        <w:pStyle w:val="ListParagraph"/>
        <w:spacing w:before="100" w:beforeAutospacing="1" w:after="100" w:afterAutospacing="1" w:line="240" w:lineRule="auto"/>
        <w:rPr>
          <w:lang w:eastAsia="en-GB"/>
        </w:rPr>
      </w:pPr>
    </w:p>
    <w:p w:rsidR="00D40CED" w:rsidRDefault="00D40CED" w:rsidP="00D40CED">
      <w:pPr>
        <w:pStyle w:val="ListParagraph"/>
        <w:numPr>
          <w:ilvl w:val="0"/>
          <w:numId w:val="3"/>
        </w:numPr>
        <w:spacing w:before="100" w:beforeAutospacing="1" w:after="100" w:afterAutospacing="1" w:line="240" w:lineRule="auto"/>
        <w:rPr>
          <w:lang w:eastAsia="en-GB"/>
        </w:rPr>
      </w:pPr>
      <w:r>
        <w:rPr>
          <w:lang w:eastAsia="en-GB"/>
        </w:rPr>
        <w:t>CPAG - test case victory for a group of working lone mothers, the High Court found the way the Department for Work and Pensions (DWP) has been assessing income from employment through its Universal Credit (UC) work assessment periods is unlawful. Ruling is that the DWP has been wrongly interpreting the universal credit regulations. They said in their judgment that treating claimants as having earned twice as much as they do if they happen to receive two pay cheques in one monthly assessment period, and as having no earnings in the next assessment period is “odd in the extreme” and “.... could be said to lead to nonsensical situations".</w:t>
      </w:r>
    </w:p>
    <w:p w:rsidR="00D40CED" w:rsidRDefault="00D40CED" w:rsidP="00D40CED">
      <w:pPr>
        <w:pStyle w:val="ListParagraph"/>
        <w:rPr>
          <w:sz w:val="16"/>
          <w:szCs w:val="16"/>
          <w:lang w:eastAsia="en-GB"/>
        </w:rPr>
      </w:pPr>
    </w:p>
    <w:p w:rsidR="00D40CED" w:rsidRDefault="00D40CED" w:rsidP="00D40CED">
      <w:pPr>
        <w:pStyle w:val="ListParagraph"/>
        <w:spacing w:before="100" w:beforeAutospacing="1" w:after="100" w:afterAutospacing="1" w:line="240" w:lineRule="auto"/>
        <w:rPr>
          <w:lang w:eastAsia="en-GB"/>
        </w:rPr>
      </w:pPr>
      <w:r>
        <w:rPr>
          <w:lang w:eastAsia="en-GB"/>
        </w:rPr>
        <w:t>We’re not sure how DWP plan to respond to this judgment yet.  However, DWP were recently refused permission to appeal.  And advisers can cite the case in revision requests</w:t>
      </w:r>
    </w:p>
    <w:p w:rsidR="00D40CED" w:rsidRDefault="00D40CED" w:rsidP="00D40CED">
      <w:pPr>
        <w:pStyle w:val="ListParagraph"/>
        <w:rPr>
          <w:color w:val="1F497D"/>
          <w:lang w:val="en" w:eastAsia="en-GB"/>
        </w:rPr>
      </w:pPr>
      <w:hyperlink r:id="rId7" w:history="1">
        <w:r>
          <w:rPr>
            <w:rStyle w:val="Hyperlink"/>
            <w:color w:val="auto"/>
            <w:lang w:val="en" w:eastAsia="en-GB"/>
          </w:rPr>
          <w:t>http://cpag.org.uk/content/high-court-finds-dwp-unlawful-universal-credit-assessments</w:t>
        </w:r>
      </w:hyperlink>
      <w:r>
        <w:rPr>
          <w:color w:val="1F497D"/>
          <w:lang w:val="en" w:eastAsia="en-GB"/>
        </w:rPr>
        <w:t xml:space="preserve"> </w:t>
      </w:r>
    </w:p>
    <w:p w:rsidR="00D40CED" w:rsidRDefault="00D40CED" w:rsidP="00D40CED">
      <w:pPr>
        <w:pStyle w:val="NormalWeb"/>
        <w:numPr>
          <w:ilvl w:val="0"/>
          <w:numId w:val="3"/>
        </w:numPr>
        <w:rPr>
          <w:rFonts w:ascii="Arial" w:hAnsi="Arial" w:cs="Arial"/>
        </w:rPr>
      </w:pPr>
      <w:r>
        <w:rPr>
          <w:rFonts w:ascii="Arial" w:hAnsi="Arial" w:cs="Arial"/>
        </w:rPr>
        <w:t xml:space="preserve">Benefits and Work reported on tragic deaths of two claimants who committed suicide after disability benefit claims stopped. DWP and Capita have been ordered to pay damages/compensation of £10,000. Victoria Smith died just weeks after having her PIP award stopped, a decision that was later overturned at tribunal. Capita were subsequently ordered to pay £10,000 in damages for maladministration. Jodie Whiting committed suicide as a result of having her ESA wrongly stopped. An ombudsman ordered the DWP to pay her family £10,000 in compensation. Is £10,000 set to become the official value of a claimant’s life? </w:t>
      </w:r>
      <w:r>
        <w:rPr>
          <w:rFonts w:ascii="Wingdings" w:hAnsi="Wingdings"/>
        </w:rPr>
        <w:t></w:t>
      </w:r>
      <w:r>
        <w:rPr>
          <w:rFonts w:ascii="Arial" w:hAnsi="Arial" w:cs="Arial"/>
        </w:rPr>
        <w:t xml:space="preserve"> Steve Donnison Benefits and Work Campaign</w:t>
      </w:r>
    </w:p>
    <w:p w:rsidR="00D40CED" w:rsidRDefault="00D40CED" w:rsidP="00D40CED">
      <w:pPr>
        <w:pStyle w:val="ListParagraph"/>
        <w:ind w:left="360"/>
        <w:rPr>
          <w:lang w:val="en" w:eastAsia="en-GB"/>
        </w:rPr>
      </w:pPr>
    </w:p>
    <w:p w:rsidR="00D40CED" w:rsidRDefault="00D40CED" w:rsidP="00D40CED">
      <w:pPr>
        <w:pStyle w:val="NoSpacing"/>
        <w:rPr>
          <w:b/>
          <w:bCs/>
          <w:color w:val="FF0000"/>
          <w:sz w:val="28"/>
          <w:szCs w:val="28"/>
          <w:u w:val="single"/>
        </w:rPr>
      </w:pPr>
      <w:r>
        <w:rPr>
          <w:b/>
          <w:bCs/>
          <w:color w:val="FF0000"/>
          <w:sz w:val="28"/>
          <w:szCs w:val="28"/>
          <w:u w:val="single"/>
        </w:rPr>
        <w:t>Social Policy/Campaign Information</w:t>
      </w:r>
    </w:p>
    <w:p w:rsidR="00D40CED" w:rsidRDefault="00D40CED" w:rsidP="00D40CED">
      <w:pPr>
        <w:pStyle w:val="NoSpacing"/>
      </w:pPr>
    </w:p>
    <w:p w:rsidR="00D40CED" w:rsidRDefault="00D40CED" w:rsidP="00D40CED">
      <w:pPr>
        <w:pStyle w:val="NoSpacing"/>
        <w:numPr>
          <w:ilvl w:val="0"/>
          <w:numId w:val="4"/>
        </w:numPr>
      </w:pPr>
      <w:r>
        <w:t xml:space="preserve">Resident Support Scheme replaced Crisis Support Grants in January – if you have any comments, compliments, complaints, suggestions on how the scheme has been running (especially if you are a partner agency) please email details to me – I am collecting information to send to Ellie Kershaw (Tower Hamlets Tackling Poverty) and Paul Smith (Northgate).  </w:t>
      </w:r>
    </w:p>
    <w:p w:rsidR="00D40CED" w:rsidRDefault="00D40CED" w:rsidP="00D40CED">
      <w:pPr>
        <w:pStyle w:val="NoSpacing"/>
        <w:ind w:left="360"/>
      </w:pPr>
    </w:p>
    <w:p w:rsidR="00D40CED" w:rsidRDefault="00D40CED" w:rsidP="00D40CED">
      <w:pPr>
        <w:pStyle w:val="NoSpacing"/>
      </w:pPr>
    </w:p>
    <w:p w:rsidR="00D40CED" w:rsidRDefault="00D40CED" w:rsidP="00D40CED">
      <w:pPr>
        <w:pStyle w:val="NoSpacing"/>
        <w:rPr>
          <w:b/>
          <w:bCs/>
          <w:color w:val="FF0000"/>
          <w:sz w:val="28"/>
          <w:szCs w:val="28"/>
          <w:u w:val="single"/>
        </w:rPr>
      </w:pPr>
    </w:p>
    <w:p w:rsidR="00D40CED" w:rsidRDefault="00D40CED" w:rsidP="00D40CED">
      <w:pPr>
        <w:pStyle w:val="NoSpacing"/>
        <w:rPr>
          <w:b/>
          <w:bCs/>
          <w:color w:val="FF0000"/>
          <w:sz w:val="28"/>
          <w:szCs w:val="28"/>
          <w:u w:val="single"/>
        </w:rPr>
      </w:pPr>
    </w:p>
    <w:p w:rsidR="00D40CED" w:rsidRDefault="00D40CED" w:rsidP="00D40CED">
      <w:pPr>
        <w:pStyle w:val="NoSpacing"/>
        <w:rPr>
          <w:b/>
          <w:bCs/>
          <w:color w:val="FF0000"/>
          <w:sz w:val="28"/>
          <w:szCs w:val="28"/>
          <w:u w:val="single"/>
        </w:rPr>
      </w:pPr>
    </w:p>
    <w:p w:rsidR="00D40CED" w:rsidRDefault="00D40CED" w:rsidP="00D40CED">
      <w:pPr>
        <w:pStyle w:val="NoSpacing"/>
        <w:rPr>
          <w:b/>
          <w:bCs/>
          <w:color w:val="FF0000"/>
          <w:sz w:val="28"/>
          <w:szCs w:val="28"/>
          <w:u w:val="single"/>
        </w:rPr>
      </w:pPr>
      <w:r>
        <w:rPr>
          <w:b/>
          <w:bCs/>
          <w:color w:val="FF0000"/>
          <w:sz w:val="28"/>
          <w:szCs w:val="28"/>
          <w:u w:val="single"/>
        </w:rPr>
        <w:lastRenderedPageBreak/>
        <w:t>Other Information</w:t>
      </w:r>
    </w:p>
    <w:p w:rsidR="00D40CED" w:rsidRDefault="00D40CED" w:rsidP="00D40CED">
      <w:pPr>
        <w:pStyle w:val="NoSpacing"/>
        <w:rPr>
          <w:b/>
          <w:bCs/>
          <w:color w:val="FF0000"/>
          <w:u w:val="single"/>
        </w:rPr>
      </w:pPr>
    </w:p>
    <w:p w:rsidR="00D40CED" w:rsidRDefault="00D40CED" w:rsidP="00D40CED">
      <w:pPr>
        <w:pStyle w:val="Default"/>
        <w:numPr>
          <w:ilvl w:val="0"/>
          <w:numId w:val="5"/>
        </w:numPr>
        <w:rPr>
          <w:b/>
          <w:bCs/>
          <w:color w:val="auto"/>
          <w:u w:val="single"/>
        </w:rPr>
      </w:pPr>
      <w:r>
        <w:rPr>
          <w:b/>
          <w:bCs/>
          <w:color w:val="auto"/>
          <w:u w:val="single"/>
        </w:rPr>
        <w:t xml:space="preserve">Info about free school meals and UC </w:t>
      </w:r>
    </w:p>
    <w:p w:rsidR="00D40CED" w:rsidRDefault="00D40CED" w:rsidP="00D40CED">
      <w:pPr>
        <w:pStyle w:val="Default"/>
        <w:ind w:firstLine="360"/>
      </w:pPr>
      <w:r>
        <w:rPr>
          <w:color w:val="auto"/>
        </w:rPr>
        <w:t xml:space="preserve">Universal Credit claimants </w:t>
      </w:r>
      <w:r>
        <w:t xml:space="preserve">can get free school meals provided you have an annual net earned income of no more than £7,400, as assessed by earnings from up to three of your most recent assessment periods) </w:t>
      </w:r>
    </w:p>
    <w:p w:rsidR="00D40CED" w:rsidRDefault="00D40CED" w:rsidP="00D40CED">
      <w:pPr>
        <w:pStyle w:val="NoSpacing"/>
        <w:ind w:firstLine="360"/>
        <w:rPr>
          <w:color w:val="1F497D"/>
        </w:rPr>
      </w:pPr>
      <w:hyperlink r:id="rId8" w:history="1">
        <w:r>
          <w:rPr>
            <w:rStyle w:val="Hyperlink"/>
          </w:rPr>
          <w:t>https://assets.publishing.service.gov.uk/government/uploads/system/uploads/attachment_data/file/700139/Free_school_meals_guidance_Apr18.pdf</w:t>
        </w:r>
      </w:hyperlink>
    </w:p>
    <w:p w:rsidR="00D40CED" w:rsidRDefault="00D40CED" w:rsidP="00D40CED">
      <w:pPr>
        <w:pStyle w:val="NoSpacing"/>
        <w:ind w:firstLine="360"/>
        <w:rPr>
          <w:color w:val="1F497D"/>
        </w:rPr>
      </w:pPr>
    </w:p>
    <w:p w:rsidR="00D40CED" w:rsidRDefault="00D40CED" w:rsidP="00D40CED">
      <w:pPr>
        <w:pStyle w:val="NoSpacing"/>
        <w:numPr>
          <w:ilvl w:val="0"/>
          <w:numId w:val="6"/>
        </w:numPr>
        <w:rPr>
          <w:color w:val="1F497D"/>
        </w:rPr>
      </w:pPr>
      <w:r>
        <w:rPr>
          <w:b/>
          <w:bCs/>
          <w:u w:val="single"/>
        </w:rPr>
        <w:t>Info about health costs and U</w:t>
      </w:r>
      <w:r>
        <w:rPr>
          <w:color w:val="1F497D"/>
        </w:rPr>
        <w:t>C</w:t>
      </w:r>
    </w:p>
    <w:p w:rsidR="00D40CED" w:rsidRDefault="00D40CED" w:rsidP="00D40CED">
      <w:pPr>
        <w:spacing w:after="200" w:line="240" w:lineRule="auto"/>
        <w:ind w:firstLine="360"/>
        <w:rPr>
          <w:lang w:val="en" w:eastAsia="en-GB"/>
        </w:rPr>
      </w:pPr>
      <w:r>
        <w:rPr>
          <w:lang w:val="en" w:eastAsia="en-GB"/>
        </w:rPr>
        <w:t>Not everyone who gets Universal Credit is entitled to free NHS prescriptions and dental treatment. Universal Credit claimants are only entitled if their earnings in their last assessment period were:</w:t>
      </w:r>
    </w:p>
    <w:p w:rsidR="00D40CED" w:rsidRDefault="00D40CED" w:rsidP="00D40CED">
      <w:pPr>
        <w:numPr>
          <w:ilvl w:val="0"/>
          <w:numId w:val="7"/>
        </w:numPr>
        <w:spacing w:after="200" w:line="240" w:lineRule="auto"/>
        <w:rPr>
          <w:rFonts w:eastAsia="Times New Roman"/>
          <w:lang w:val="en" w:eastAsia="en-GB"/>
        </w:rPr>
      </w:pPr>
      <w:r>
        <w:rPr>
          <w:rFonts w:eastAsia="Times New Roman"/>
          <w:lang w:val="en" w:eastAsia="en-GB"/>
        </w:rPr>
        <w:t>£435 or less</w:t>
      </w:r>
    </w:p>
    <w:p w:rsidR="00D40CED" w:rsidRDefault="00D40CED" w:rsidP="00D40CED">
      <w:pPr>
        <w:numPr>
          <w:ilvl w:val="0"/>
          <w:numId w:val="7"/>
        </w:numPr>
        <w:spacing w:after="200" w:line="240" w:lineRule="auto"/>
        <w:rPr>
          <w:rFonts w:eastAsia="Times New Roman"/>
          <w:lang w:val="en" w:eastAsia="en-GB"/>
        </w:rPr>
      </w:pPr>
      <w:r>
        <w:rPr>
          <w:rFonts w:eastAsia="Times New Roman"/>
          <w:lang w:val="en" w:eastAsia="en-GB"/>
        </w:rPr>
        <w:t>£935 or less if their Universal Credit includes a payment for a child or they have limited capability for work or work-related activity</w:t>
      </w:r>
    </w:p>
    <w:p w:rsidR="00D40CED" w:rsidRDefault="00D40CED" w:rsidP="00D40CED">
      <w:pPr>
        <w:pStyle w:val="ListParagraph"/>
        <w:ind w:left="360"/>
      </w:pPr>
      <w:hyperlink r:id="rId9" w:history="1">
        <w:r>
          <w:rPr>
            <w:rStyle w:val="Hyperlink"/>
          </w:rPr>
          <w:t>https://www.nhsbsa.nhs.uk/universal-credit-toolkit</w:t>
        </w:r>
      </w:hyperlink>
    </w:p>
    <w:p w:rsidR="00D40CED" w:rsidRDefault="00D40CED" w:rsidP="00D40CED">
      <w:pPr>
        <w:pStyle w:val="ListParagraph"/>
        <w:ind w:left="360"/>
      </w:pPr>
    </w:p>
    <w:p w:rsidR="00D40CED" w:rsidRDefault="00D40CED" w:rsidP="00D40CED">
      <w:pPr>
        <w:pStyle w:val="ListParagraph"/>
        <w:numPr>
          <w:ilvl w:val="0"/>
          <w:numId w:val="6"/>
        </w:numPr>
        <w:spacing w:line="240" w:lineRule="auto"/>
        <w:rPr>
          <w:lang w:eastAsia="en-GB"/>
        </w:rPr>
      </w:pPr>
      <w:r>
        <w:t>Standard Financial Statement – attached – also THCAN factsheet with guidance on how to become a qualified debt advisor</w:t>
      </w:r>
    </w:p>
    <w:p w:rsidR="00D40CED" w:rsidRDefault="00D40CED" w:rsidP="00D40CED">
      <w:pPr>
        <w:pStyle w:val="ListParagraph"/>
        <w:spacing w:line="240" w:lineRule="auto"/>
        <w:ind w:left="360"/>
        <w:rPr>
          <w:rStyle w:val="Hyperlink"/>
        </w:rPr>
      </w:pPr>
      <w:r>
        <w:rPr>
          <w:lang w:eastAsia="en-GB"/>
        </w:rPr>
        <w:t xml:space="preserve">The </w:t>
      </w:r>
      <w:r>
        <w:rPr>
          <w:b/>
          <w:bCs/>
          <w:lang w:eastAsia="en-GB"/>
        </w:rPr>
        <w:t>Standard Financial Statement</w:t>
      </w:r>
      <w:r>
        <w:rPr>
          <w:lang w:eastAsia="en-GB"/>
        </w:rPr>
        <w:t xml:space="preserve"> (SFS) is a landmark development for debt advice in the UK which delivers, for the first time, a universal </w:t>
      </w:r>
      <w:r>
        <w:rPr>
          <w:b/>
          <w:bCs/>
          <w:lang w:eastAsia="en-GB"/>
        </w:rPr>
        <w:t>income</w:t>
      </w:r>
      <w:r>
        <w:rPr>
          <w:lang w:eastAsia="en-GB"/>
        </w:rPr>
        <w:t xml:space="preserve"> and expenditure </w:t>
      </w:r>
      <w:r>
        <w:rPr>
          <w:b/>
          <w:bCs/>
          <w:lang w:eastAsia="en-GB"/>
        </w:rPr>
        <w:t>statement</w:t>
      </w:r>
      <w:r>
        <w:rPr>
          <w:lang w:eastAsia="en-GB"/>
        </w:rPr>
        <w:t xml:space="preserve">, together with a single set of spending guidelines. The tool is used to summarise a person's </w:t>
      </w:r>
      <w:r>
        <w:rPr>
          <w:b/>
          <w:bCs/>
          <w:lang w:eastAsia="en-GB"/>
        </w:rPr>
        <w:t>income</w:t>
      </w:r>
      <w:r>
        <w:rPr>
          <w:lang w:eastAsia="en-GB"/>
        </w:rPr>
        <w:t xml:space="preserve"> and outgoings, along with any debts </w:t>
      </w:r>
      <w:hyperlink r:id="rId10" w:history="1">
        <w:r>
          <w:rPr>
            <w:rStyle w:val="Hyperlink"/>
            <w:i/>
            <w:iCs/>
            <w:lang w:eastAsia="en-GB"/>
          </w:rPr>
          <w:t>https://sfs.moneyadviceservice.org.uk/en/what-is-the-standard-financial-statement</w:t>
        </w:r>
      </w:hyperlink>
    </w:p>
    <w:p w:rsidR="00D40CED" w:rsidRDefault="00D40CED" w:rsidP="00D40CED">
      <w:pPr>
        <w:spacing w:after="0" w:line="240" w:lineRule="auto"/>
      </w:pPr>
    </w:p>
    <w:p w:rsidR="00D40CED" w:rsidRDefault="00D40CED" w:rsidP="00D40CED">
      <w:pPr>
        <w:pStyle w:val="NoSpacing"/>
        <w:numPr>
          <w:ilvl w:val="0"/>
          <w:numId w:val="6"/>
        </w:numPr>
      </w:pPr>
      <w:r>
        <w:t xml:space="preserve">How to make a complaint to DWP including email contacts has been amended and updated – will be available on </w:t>
      </w:r>
      <w:hyperlink r:id="rId11" w:history="1">
        <w:r>
          <w:rPr>
            <w:rStyle w:val="Hyperlink"/>
            <w:color w:val="auto"/>
          </w:rPr>
          <w:t>http://thcan.org.uk/factsheets/</w:t>
        </w:r>
      </w:hyperlink>
      <w:r>
        <w:t xml:space="preserve"> but is attached</w:t>
      </w:r>
    </w:p>
    <w:p w:rsidR="00D40CED" w:rsidRDefault="00D40CED" w:rsidP="00D40CED">
      <w:pPr>
        <w:pStyle w:val="NoSpacing"/>
      </w:pPr>
    </w:p>
    <w:p w:rsidR="00D40CED" w:rsidRDefault="00D40CED" w:rsidP="00D40CED">
      <w:pPr>
        <w:pStyle w:val="NoSpacing"/>
        <w:rPr>
          <w:color w:val="1F497D"/>
        </w:rPr>
      </w:pPr>
    </w:p>
    <w:p w:rsidR="00D40CED" w:rsidRDefault="00D40CED" w:rsidP="00D40CED">
      <w:pPr>
        <w:pStyle w:val="NoSpacing"/>
        <w:rPr>
          <w:color w:val="1F497D"/>
          <w:sz w:val="28"/>
          <w:szCs w:val="28"/>
        </w:rPr>
      </w:pPr>
    </w:p>
    <w:p w:rsidR="00D40CED" w:rsidRDefault="00D40CED" w:rsidP="00D40CED">
      <w:pPr>
        <w:pStyle w:val="NoSpacing"/>
        <w:rPr>
          <w:b/>
          <w:bCs/>
          <w:color w:val="FF0000"/>
          <w:sz w:val="28"/>
          <w:szCs w:val="28"/>
          <w:u w:val="single"/>
        </w:rPr>
      </w:pPr>
      <w:r>
        <w:rPr>
          <w:b/>
          <w:bCs/>
          <w:color w:val="FF0000"/>
          <w:sz w:val="28"/>
          <w:szCs w:val="28"/>
          <w:u w:val="single"/>
        </w:rPr>
        <w:t>Information exchange/services</w:t>
      </w:r>
    </w:p>
    <w:p w:rsidR="00D40CED" w:rsidRDefault="00D40CED" w:rsidP="00D40CED">
      <w:pPr>
        <w:pStyle w:val="NoSpacing"/>
        <w:rPr>
          <w:b/>
          <w:bCs/>
          <w:color w:val="FF0000"/>
          <w:u w:val="single"/>
        </w:rPr>
      </w:pPr>
    </w:p>
    <w:p w:rsidR="00D40CED" w:rsidRDefault="00D40CED" w:rsidP="00D40CED">
      <w:pPr>
        <w:pStyle w:val="NoSpacing"/>
        <w:numPr>
          <w:ilvl w:val="0"/>
          <w:numId w:val="8"/>
        </w:numPr>
      </w:pPr>
      <w:r>
        <w:t>DWP benefits information newsletter attached</w:t>
      </w:r>
    </w:p>
    <w:p w:rsidR="00D40CED" w:rsidRDefault="00D40CED" w:rsidP="00D40CED">
      <w:pPr>
        <w:pStyle w:val="NoSpacing"/>
        <w:ind w:left="360"/>
      </w:pPr>
    </w:p>
    <w:p w:rsidR="00D40CED" w:rsidRDefault="00D40CED" w:rsidP="00D40CED">
      <w:pPr>
        <w:pStyle w:val="NoSpacing"/>
        <w:numPr>
          <w:ilvl w:val="0"/>
          <w:numId w:val="8"/>
        </w:numPr>
        <w:rPr>
          <w:color w:val="1F497D"/>
        </w:rPr>
      </w:pPr>
      <w:r>
        <w:t xml:space="preserve">Housing advisors minutes Jan 2019 – if you are interested in this forum please contact; Sadaf Mir </w:t>
      </w:r>
      <w:hyperlink r:id="rId12" w:history="1">
        <w:r>
          <w:rPr>
            <w:rStyle w:val="Hyperlink"/>
          </w:rPr>
          <w:t>s.mir@thlc.co.uk</w:t>
        </w:r>
      </w:hyperlink>
      <w:r>
        <w:t xml:space="preserve"> </w:t>
      </w:r>
    </w:p>
    <w:p w:rsidR="00D40CED" w:rsidRDefault="00D40CED" w:rsidP="00D40CED">
      <w:pPr>
        <w:pStyle w:val="NoSpacing"/>
        <w:rPr>
          <w:rStyle w:val="Hyperlink"/>
          <w:color w:val="1F497D"/>
          <w:u w:val="none"/>
        </w:rPr>
      </w:pPr>
    </w:p>
    <w:p w:rsidR="00D40CED" w:rsidRDefault="00D40CED" w:rsidP="00D40CED">
      <w:pPr>
        <w:pStyle w:val="NoSpacing"/>
        <w:numPr>
          <w:ilvl w:val="0"/>
          <w:numId w:val="8"/>
        </w:numPr>
      </w:pPr>
      <w:r>
        <w:rPr>
          <w:b/>
          <w:bCs/>
          <w:u w:val="single"/>
        </w:rPr>
        <w:t>Help with Universal Credit Claims</w:t>
      </w:r>
      <w:r>
        <w:t xml:space="preserve"> and Maintenance for Tower Hamlets residents </w:t>
      </w:r>
      <w:r>
        <w:rPr>
          <w:color w:val="1F497D"/>
        </w:rPr>
        <w:t>-</w:t>
      </w:r>
      <w:r>
        <w:t xml:space="preserve"> attached</w:t>
      </w:r>
      <w:r>
        <w:rPr>
          <w:color w:val="1F497D"/>
        </w:rPr>
        <w:t xml:space="preserve"> final version of factsheet is attached it  will also available on </w:t>
      </w:r>
      <w:hyperlink r:id="rId13" w:history="1">
        <w:r>
          <w:rPr>
            <w:rStyle w:val="Hyperlink"/>
          </w:rPr>
          <w:t>http://thcan.org.uk/factsheets/</w:t>
        </w:r>
      </w:hyperlink>
      <w:r>
        <w:rPr>
          <w:color w:val="1F497D"/>
        </w:rPr>
        <w:t xml:space="preserve">  </w:t>
      </w:r>
    </w:p>
    <w:p w:rsidR="00D40CED" w:rsidRDefault="00D40CED" w:rsidP="00D40CED">
      <w:pPr>
        <w:pStyle w:val="NoSpacing"/>
        <w:rPr>
          <w:color w:val="1F497D"/>
        </w:rPr>
      </w:pPr>
    </w:p>
    <w:p w:rsidR="00D40CED" w:rsidRDefault="00D40CED" w:rsidP="00D40CED">
      <w:pPr>
        <w:pStyle w:val="NoSpacing"/>
        <w:numPr>
          <w:ilvl w:val="0"/>
          <w:numId w:val="4"/>
        </w:numPr>
        <w:rPr>
          <w:color w:val="1F497D"/>
        </w:rPr>
      </w:pPr>
      <w:r>
        <w:t xml:space="preserve">Leaflet with debt advice services in Tower Hamlets attached will also be available on </w:t>
      </w:r>
      <w:hyperlink r:id="rId14" w:history="1">
        <w:r>
          <w:rPr>
            <w:rStyle w:val="Hyperlink"/>
          </w:rPr>
          <w:t>http://thcan.org.uk/debt-advice/</w:t>
        </w:r>
      </w:hyperlink>
      <w:r>
        <w:rPr>
          <w:color w:val="1F497D"/>
        </w:rPr>
        <w:t xml:space="preserve"> </w:t>
      </w:r>
    </w:p>
    <w:p w:rsidR="00D40CED" w:rsidRDefault="00D40CED" w:rsidP="00D40CED">
      <w:pPr>
        <w:pStyle w:val="NoSpacing"/>
        <w:rPr>
          <w:color w:val="1F497D"/>
        </w:rPr>
      </w:pPr>
    </w:p>
    <w:p w:rsidR="00D40CED" w:rsidRDefault="00D40CED" w:rsidP="00D40CED">
      <w:pPr>
        <w:pStyle w:val="NoSpacing"/>
        <w:rPr>
          <w:color w:val="1F497D"/>
          <w:sz w:val="28"/>
          <w:szCs w:val="28"/>
        </w:rPr>
      </w:pPr>
    </w:p>
    <w:p w:rsidR="00D40CED" w:rsidRDefault="00D40CED" w:rsidP="00D40CED">
      <w:pPr>
        <w:pStyle w:val="ydp27e880beyiv7211945953xxmsonormal"/>
        <w:rPr>
          <w:rFonts w:ascii="Arial" w:hAnsi="Arial" w:cs="Arial"/>
          <w:b/>
          <w:bCs/>
          <w:color w:val="FF0000"/>
          <w:sz w:val="28"/>
          <w:szCs w:val="28"/>
          <w:u w:val="single"/>
        </w:rPr>
      </w:pPr>
      <w:r>
        <w:rPr>
          <w:rFonts w:ascii="Arial" w:hAnsi="Arial" w:cs="Arial"/>
          <w:b/>
          <w:bCs/>
          <w:color w:val="FF0000"/>
          <w:sz w:val="28"/>
          <w:szCs w:val="28"/>
          <w:u w:val="single"/>
        </w:rPr>
        <w:lastRenderedPageBreak/>
        <w:t>Specialist Welfare Rights Advisors Referrals for Tower Hamlets Residents</w:t>
      </w:r>
    </w:p>
    <w:p w:rsidR="00D40CED" w:rsidRDefault="00D40CED" w:rsidP="00D40CED">
      <w:pPr>
        <w:pStyle w:val="ydp27e880beyiv7211945953xxmsonormal"/>
        <w:rPr>
          <w:rFonts w:ascii="Arial" w:hAnsi="Arial" w:cs="Arial"/>
        </w:rPr>
      </w:pPr>
      <w:r>
        <w:rPr>
          <w:rFonts w:ascii="Arial" w:hAnsi="Arial" w:cs="Arial"/>
          <w:b/>
          <w:bCs/>
        </w:rPr>
        <w:t>Legal Advice Centre</w:t>
      </w:r>
      <w:r>
        <w:rPr>
          <w:rFonts w:ascii="Arial" w:hAnsi="Arial" w:cs="Arial"/>
        </w:rPr>
        <w:t>: Only take referrals for appeals when got the appeal bundle, not Mandatory Reconsideration.  Otherwise can be ‘signposted’</w:t>
      </w:r>
      <w:r>
        <w:rPr>
          <w:rFonts w:ascii="Arial" w:hAnsi="Arial" w:cs="Arial"/>
        </w:rPr>
        <w:t> (i.e.</w:t>
      </w:r>
      <w:r>
        <w:rPr>
          <w:rFonts w:ascii="Arial" w:hAnsi="Arial" w:cs="Arial"/>
        </w:rPr>
        <w:t xml:space="preserve"> send client to drop in advice session) for assistance. Referrals can be emailed to </w:t>
      </w:r>
      <w:hyperlink r:id="rId15" w:tgtFrame="_blank" w:history="1">
        <w:r>
          <w:rPr>
            <w:rStyle w:val="Hyperlink"/>
            <w:rFonts w:ascii="Arial" w:hAnsi="Arial" w:cs="Arial"/>
            <w:color w:val="auto"/>
          </w:rPr>
          <w:t>admin@legaladvicecentre.org</w:t>
        </w:r>
      </w:hyperlink>
      <w:r>
        <w:rPr>
          <w:rFonts w:ascii="Arial" w:hAnsi="Arial" w:cs="Arial"/>
        </w:rPr>
        <w:t xml:space="preserve"> they will email back to confirm that clients have been booked – full guidance available on </w:t>
      </w:r>
      <w:hyperlink r:id="rId16" w:anchor="_blank" w:tgtFrame="_blank" w:history="1">
        <w:r>
          <w:rPr>
            <w:rStyle w:val="Hyperlink"/>
            <w:rFonts w:ascii="Arial" w:hAnsi="Arial" w:cs="Arial"/>
            <w:color w:val="auto"/>
          </w:rPr>
          <w:t>www.thcan.org.uk/advice-agencies-information/</w:t>
        </w:r>
      </w:hyperlink>
    </w:p>
    <w:p w:rsidR="00D40CED" w:rsidRDefault="00D40CED" w:rsidP="00D40CED">
      <w:pPr>
        <w:pStyle w:val="ydp27e880beyiv7211945953xxmsonormal"/>
        <w:rPr>
          <w:rFonts w:ascii="Arial" w:hAnsi="Arial" w:cs="Arial"/>
        </w:rPr>
      </w:pPr>
      <w:r>
        <w:rPr>
          <w:rFonts w:ascii="Arial" w:hAnsi="Arial" w:cs="Arial"/>
          <w:b/>
          <w:bCs/>
        </w:rPr>
        <w:t>Law Centre</w:t>
      </w:r>
      <w:r>
        <w:rPr>
          <w:rFonts w:ascii="Arial" w:hAnsi="Arial" w:cs="Arial"/>
        </w:rPr>
        <w:t xml:space="preserve">: Chris Parsons very limited capacity but to email or phone him, has no particular criteria </w:t>
      </w:r>
      <w:hyperlink r:id="rId17" w:tgtFrame="_blank" w:history="1">
        <w:r>
          <w:rPr>
            <w:rStyle w:val="Hyperlink"/>
            <w:rFonts w:ascii="Arial" w:hAnsi="Arial" w:cs="Arial"/>
            <w:color w:val="auto"/>
          </w:rPr>
          <w:t>c.parsons@thlc.org.uk</w:t>
        </w:r>
      </w:hyperlink>
      <w:r>
        <w:rPr>
          <w:rFonts w:ascii="Arial" w:hAnsi="Arial" w:cs="Arial"/>
        </w:rPr>
        <w:t xml:space="preserve"> </w:t>
      </w:r>
    </w:p>
    <w:p w:rsidR="00D40CED" w:rsidRDefault="00D40CED" w:rsidP="00D40CED">
      <w:pPr>
        <w:pStyle w:val="ydp27e880beyiv7211945953xxmsonormal"/>
        <w:rPr>
          <w:rFonts w:ascii="Arial" w:hAnsi="Arial" w:cs="Arial"/>
        </w:rPr>
      </w:pPr>
      <w:r>
        <w:rPr>
          <w:rFonts w:ascii="Arial" w:hAnsi="Arial" w:cs="Arial"/>
          <w:b/>
          <w:bCs/>
        </w:rPr>
        <w:t>Island Advice</w:t>
      </w:r>
      <w:r>
        <w:rPr>
          <w:rFonts w:ascii="Arial" w:hAnsi="Arial" w:cs="Arial"/>
        </w:rPr>
        <w:t xml:space="preserve">: Tower Hamlets clients only, limited casework and usually all appointments are taken up through our drop in advice session clients but email  </w:t>
      </w:r>
      <w:hyperlink r:id="rId18" w:tgtFrame="_blank" w:history="1">
        <w:r>
          <w:rPr>
            <w:rStyle w:val="Hyperlink"/>
            <w:rFonts w:ascii="Arial" w:hAnsi="Arial" w:cs="Arial"/>
            <w:color w:val="auto"/>
          </w:rPr>
          <w:t>steph@island-advice.org.uk</w:t>
        </w:r>
      </w:hyperlink>
      <w:r>
        <w:rPr>
          <w:rFonts w:ascii="Arial" w:hAnsi="Arial" w:cs="Arial"/>
        </w:rPr>
        <w:t xml:space="preserve">  or phone direct line 020 7538 0094 (phone number is for advisors only) Clients can ring 0207 987 9379</w:t>
      </w:r>
    </w:p>
    <w:p w:rsidR="00D40CED" w:rsidRDefault="00D40CED" w:rsidP="00D40CED">
      <w:pPr>
        <w:pStyle w:val="NoSpacing"/>
      </w:pPr>
      <w:r>
        <w:rPr>
          <w:b/>
          <w:bCs/>
        </w:rPr>
        <w:t>CAB</w:t>
      </w:r>
      <w:r>
        <w:t xml:space="preserve"> advisor Eukay</w:t>
      </w:r>
      <w:bookmarkStart w:id="0" w:name="_GoBack"/>
      <w:bookmarkEnd w:id="0"/>
      <w:r>
        <w:t xml:space="preserve"> email </w:t>
      </w:r>
      <w:hyperlink r:id="rId19" w:tgtFrame="_blank" w:history="1">
        <w:r>
          <w:rPr>
            <w:rStyle w:val="Hyperlink"/>
            <w:color w:val="auto"/>
          </w:rPr>
          <w:t>eukandu@eastendcab.org.uk</w:t>
        </w:r>
      </w:hyperlink>
      <w:r>
        <w:t>  </w:t>
      </w:r>
      <w:r>
        <w:t xml:space="preserve">Also their full drop in services sessions are available on:  </w:t>
      </w:r>
      <w:hyperlink r:id="rId20" w:anchor="_blank" w:tgtFrame="_blank" w:history="1">
        <w:r>
          <w:rPr>
            <w:rStyle w:val="Hyperlink"/>
            <w:color w:val="auto"/>
          </w:rPr>
          <w:t>www.thcan.org.uk/advice-agencies-information/</w:t>
        </w:r>
      </w:hyperlink>
    </w:p>
    <w:p w:rsidR="00D40CED" w:rsidRDefault="00D40CED" w:rsidP="00D40CED"/>
    <w:p w:rsidR="00B4689D" w:rsidRDefault="00B4689D"/>
    <w:sectPr w:rsidR="00B468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272C1"/>
    <w:multiLevelType w:val="multilevel"/>
    <w:tmpl w:val="66EE279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33C2ADD"/>
    <w:multiLevelType w:val="hybridMultilevel"/>
    <w:tmpl w:val="C5D634A8"/>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D5749A1"/>
    <w:multiLevelType w:val="multilevel"/>
    <w:tmpl w:val="EA7E8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B060E4"/>
    <w:multiLevelType w:val="hybridMultilevel"/>
    <w:tmpl w:val="CAF22064"/>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3FC52590"/>
    <w:multiLevelType w:val="multilevel"/>
    <w:tmpl w:val="765657D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660216C2"/>
    <w:multiLevelType w:val="hybridMultilevel"/>
    <w:tmpl w:val="8724DA2E"/>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7E7469C6"/>
    <w:multiLevelType w:val="hybridMultilevel"/>
    <w:tmpl w:val="534E6E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7F2A48A3"/>
    <w:multiLevelType w:val="hybridMultilevel"/>
    <w:tmpl w:val="4B0EA65C"/>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 w:numId="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CED"/>
    <w:rsid w:val="00341481"/>
    <w:rsid w:val="00771E20"/>
    <w:rsid w:val="00B4689D"/>
    <w:rsid w:val="00D40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ECEB6F-FE43-4E94-A6EF-710DE0F74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8"/>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CED"/>
    <w:pPr>
      <w:spacing w:line="252" w:lineRule="auto"/>
    </w:pPr>
    <w:rPr>
      <w:rFonts w:ascii="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0CED"/>
    <w:rPr>
      <w:color w:val="0563C1"/>
      <w:u w:val="single"/>
    </w:rPr>
  </w:style>
  <w:style w:type="paragraph" w:styleId="NormalWeb">
    <w:name w:val="Normal (Web)"/>
    <w:basedOn w:val="Normal"/>
    <w:uiPriority w:val="99"/>
    <w:semiHidden/>
    <w:unhideWhenUsed/>
    <w:rsid w:val="00D40CED"/>
    <w:pPr>
      <w:spacing w:before="100" w:beforeAutospacing="1" w:after="100" w:afterAutospacing="1" w:line="240" w:lineRule="auto"/>
    </w:pPr>
    <w:rPr>
      <w:rFonts w:ascii="Times New Roman" w:hAnsi="Times New Roman" w:cs="Times New Roman"/>
      <w:lang w:eastAsia="en-GB"/>
    </w:rPr>
  </w:style>
  <w:style w:type="paragraph" w:styleId="NoSpacing">
    <w:name w:val="No Spacing"/>
    <w:basedOn w:val="Normal"/>
    <w:uiPriority w:val="1"/>
    <w:qFormat/>
    <w:rsid w:val="00D40CED"/>
    <w:pPr>
      <w:spacing w:after="0" w:line="240" w:lineRule="auto"/>
    </w:pPr>
  </w:style>
  <w:style w:type="paragraph" w:styleId="ListParagraph">
    <w:name w:val="List Paragraph"/>
    <w:basedOn w:val="Normal"/>
    <w:uiPriority w:val="34"/>
    <w:qFormat/>
    <w:rsid w:val="00D40CED"/>
    <w:pPr>
      <w:ind w:left="720"/>
      <w:contextualSpacing/>
    </w:pPr>
  </w:style>
  <w:style w:type="paragraph" w:customStyle="1" w:styleId="ydp27e880beyiv7211945953xxmsonormal">
    <w:name w:val="ydp27e880beyiv7211945953xxmsonormal"/>
    <w:basedOn w:val="Normal"/>
    <w:uiPriority w:val="99"/>
    <w:semiHidden/>
    <w:rsid w:val="00D40CED"/>
    <w:pPr>
      <w:spacing w:before="100" w:beforeAutospacing="1" w:after="100" w:afterAutospacing="1" w:line="240" w:lineRule="auto"/>
    </w:pPr>
    <w:rPr>
      <w:rFonts w:ascii="Times New Roman" w:hAnsi="Times New Roman" w:cs="Times New Roman"/>
      <w:lang w:eastAsia="en-GB"/>
    </w:rPr>
  </w:style>
  <w:style w:type="paragraph" w:customStyle="1" w:styleId="Default">
    <w:name w:val="Default"/>
    <w:basedOn w:val="Normal"/>
    <w:uiPriority w:val="99"/>
    <w:semiHidden/>
    <w:rsid w:val="00D40CED"/>
    <w:pPr>
      <w:autoSpaceDE w:val="0"/>
      <w:autoSpaceDN w:val="0"/>
      <w:spacing w:after="0" w:line="240" w:lineRule="auto"/>
    </w:pPr>
    <w:rPr>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33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700139/Free_school_meals_guidance_Apr18.pdf" TargetMode="External"/><Relationship Id="rId13" Type="http://schemas.openxmlformats.org/officeDocument/2006/relationships/hyperlink" Target="http://thcan.org.uk/factsheets/" TargetMode="External"/><Relationship Id="rId18" Type="http://schemas.openxmlformats.org/officeDocument/2006/relationships/hyperlink" Target="mailto:steph@island-advice.org.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pag.org.uk/content/high-court-finds-dwp-unlawful-universal-credit-assessments" TargetMode="External"/><Relationship Id="rId12" Type="http://schemas.openxmlformats.org/officeDocument/2006/relationships/hyperlink" Target="mailto:s.mir@thlc.co.uk" TargetMode="External"/><Relationship Id="rId17" Type="http://schemas.openxmlformats.org/officeDocument/2006/relationships/hyperlink" Target="mailto:c.parsons@thlc.org.uk" TargetMode="External"/><Relationship Id="rId2" Type="http://schemas.openxmlformats.org/officeDocument/2006/relationships/styles" Target="styles.xml"/><Relationship Id="rId16" Type="http://schemas.openxmlformats.org/officeDocument/2006/relationships/hyperlink" Target="http://www.thcan.org.uk/advice-agencies-information/" TargetMode="External"/><Relationship Id="rId20" Type="http://schemas.openxmlformats.org/officeDocument/2006/relationships/hyperlink" Target="http://www.thcan.org.uk/advice-agencies-information/" TargetMode="External"/><Relationship Id="rId1" Type="http://schemas.openxmlformats.org/officeDocument/2006/relationships/numbering" Target="numbering.xml"/><Relationship Id="rId6" Type="http://schemas.openxmlformats.org/officeDocument/2006/relationships/hyperlink" Target="mailto:jo.ellis@island-advice.org.uk" TargetMode="External"/><Relationship Id="rId11" Type="http://schemas.openxmlformats.org/officeDocument/2006/relationships/hyperlink" Target="http://thcan.org.uk/factsheets/" TargetMode="External"/><Relationship Id="rId5" Type="http://schemas.openxmlformats.org/officeDocument/2006/relationships/hyperlink" Target="http://www.thcan.org.uk" TargetMode="External"/><Relationship Id="rId15" Type="http://schemas.openxmlformats.org/officeDocument/2006/relationships/hyperlink" Target="mailto:admin@legaladvicecentre.org" TargetMode="External"/><Relationship Id="rId10" Type="http://schemas.openxmlformats.org/officeDocument/2006/relationships/hyperlink" Target="https://sfs.moneyadviceservice.org.uk/en/what-is-the-standard-financial-statement%0d" TargetMode="External"/><Relationship Id="rId19" Type="http://schemas.openxmlformats.org/officeDocument/2006/relationships/hyperlink" Target="mailto:eukandu@eastendcab.org.uk" TargetMode="External"/><Relationship Id="rId4" Type="http://schemas.openxmlformats.org/officeDocument/2006/relationships/webSettings" Target="webSettings.xml"/><Relationship Id="rId9" Type="http://schemas.openxmlformats.org/officeDocument/2006/relationships/hyperlink" Target="https://www.nhsbsa.nhs.uk/universal-credit-toolkit" TargetMode="External"/><Relationship Id="rId14" Type="http://schemas.openxmlformats.org/officeDocument/2006/relationships/hyperlink" Target="http://thcan.org.uk/debt-advic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1248</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Suna Mala</dc:creator>
  <cp:keywords/>
  <dc:description/>
  <cp:lastModifiedBy>Suna Mala</cp:lastModifiedBy>
  <cp:revision>1</cp:revision>
  <dcterms:created xsi:type="dcterms:W3CDTF">2019-03-13T10:01:00Z</dcterms:created>
  <dcterms:modified xsi:type="dcterms:W3CDTF">2019-03-13T10:18:00Z</dcterms:modified>
</cp:coreProperties>
</file>