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F7" w:rsidRDefault="00242FF7" w:rsidP="00242FF7">
      <w:pPr>
        <w:pStyle w:val="ydp27e880beyiv7211945953xxmsonormal"/>
        <w:jc w:val="center"/>
        <w:rPr>
          <w:rFonts w:ascii="Arial" w:hAnsi="Arial" w:cs="Arial"/>
          <w:b/>
          <w:bCs/>
          <w:color w:val="26282A"/>
          <w:sz w:val="20"/>
          <w:szCs w:val="20"/>
        </w:rPr>
      </w:pPr>
      <w:r>
        <w:rPr>
          <w:rFonts w:ascii="Arial" w:hAnsi="Arial" w:cs="Arial"/>
          <w:b/>
          <w:bCs/>
          <w:color w:val="26282A"/>
          <w:sz w:val="20"/>
          <w:szCs w:val="20"/>
        </w:rPr>
        <w:t xml:space="preserve">This is </w:t>
      </w:r>
      <w:r>
        <w:rPr>
          <w:rFonts w:ascii="Arial" w:hAnsi="Arial" w:cs="Arial"/>
          <w:b/>
          <w:bCs/>
          <w:color w:val="FF0000"/>
          <w:sz w:val="20"/>
          <w:szCs w:val="20"/>
        </w:rPr>
        <w:t>Tower Hamlets Community Advice Network</w:t>
      </w:r>
      <w:r>
        <w:rPr>
          <w:rFonts w:ascii="Arial" w:hAnsi="Arial" w:cs="Arial"/>
          <w:b/>
          <w:bCs/>
          <w:color w:val="26282A"/>
          <w:sz w:val="20"/>
          <w:szCs w:val="20"/>
        </w:rPr>
        <w:t xml:space="preserve">’s welfare rights advisors monthly information exchange, it is sent to around 200 individuals and organisations with an interest in welfare rights in Tower Hamlets and is available to see on the </w:t>
      </w:r>
      <w:hyperlink r:id="rId5" w:history="1">
        <w:r>
          <w:rPr>
            <w:rStyle w:val="Hyperlink"/>
            <w:rFonts w:ascii="Arial" w:hAnsi="Arial" w:cs="Arial"/>
            <w:b/>
            <w:bCs/>
            <w:sz w:val="20"/>
            <w:szCs w:val="20"/>
          </w:rPr>
          <w:t>www.thcan.org.uk</w:t>
        </w:r>
      </w:hyperlink>
      <w:r>
        <w:rPr>
          <w:rFonts w:ascii="Arial" w:hAnsi="Arial" w:cs="Arial"/>
          <w:b/>
          <w:bCs/>
          <w:color w:val="26282A"/>
          <w:sz w:val="20"/>
          <w:szCs w:val="20"/>
        </w:rPr>
        <w:t xml:space="preserve">  Up-to-date information on advice providers services and opening times are available on the website</w:t>
      </w:r>
    </w:p>
    <w:p w:rsidR="00242FF7" w:rsidRDefault="00242FF7" w:rsidP="00242FF7">
      <w:pPr>
        <w:pStyle w:val="NoSpacing"/>
        <w:rPr>
          <w:rFonts w:ascii="Calibri" w:hAnsi="Calibri"/>
          <w:b/>
          <w:bCs/>
          <w:color w:val="1F497D"/>
          <w:sz w:val="22"/>
          <w:szCs w:val="22"/>
          <w:u w:val="single"/>
        </w:rPr>
      </w:pPr>
    </w:p>
    <w:p w:rsidR="00242FF7" w:rsidRDefault="00242FF7" w:rsidP="00242FF7">
      <w:pPr>
        <w:pStyle w:val="NoSpacing"/>
        <w:rPr>
          <w:rFonts w:ascii="Calibri" w:hAnsi="Calibri"/>
          <w:b/>
          <w:bCs/>
          <w:color w:val="1F497D"/>
          <w:sz w:val="22"/>
          <w:szCs w:val="22"/>
          <w:u w:val="single"/>
        </w:rPr>
      </w:pPr>
    </w:p>
    <w:p w:rsidR="00242FF7" w:rsidRDefault="00242FF7" w:rsidP="00242FF7">
      <w:pPr>
        <w:pStyle w:val="NoSpacing"/>
        <w:rPr>
          <w:sz w:val="28"/>
          <w:szCs w:val="28"/>
        </w:rPr>
      </w:pPr>
      <w:r>
        <w:rPr>
          <w:b/>
          <w:bCs/>
          <w:color w:val="FF0000"/>
          <w:sz w:val="28"/>
          <w:szCs w:val="28"/>
          <w:u w:val="single"/>
        </w:rPr>
        <w:t>Welfare Rights Advisors Forum  </w:t>
      </w:r>
      <w:r>
        <w:rPr>
          <w:sz w:val="28"/>
          <w:szCs w:val="28"/>
        </w:rPr>
        <w:t>   </w:t>
      </w:r>
      <w:r>
        <w:rPr>
          <w:b/>
          <w:bCs/>
          <w:sz w:val="28"/>
          <w:szCs w:val="28"/>
        </w:rPr>
        <w:t xml:space="preserve">NOTE date/venue  change  </w:t>
      </w:r>
      <w:r>
        <w:rPr>
          <w:sz w:val="28"/>
          <w:szCs w:val="28"/>
        </w:rPr>
        <w:t>Thursday 4</w:t>
      </w:r>
      <w:r>
        <w:rPr>
          <w:sz w:val="28"/>
          <w:szCs w:val="28"/>
          <w:vertAlign w:val="superscript"/>
        </w:rPr>
        <w:t>th</w:t>
      </w:r>
      <w:r>
        <w:rPr>
          <w:sz w:val="28"/>
          <w:szCs w:val="28"/>
        </w:rPr>
        <w:t xml:space="preserve"> July  2-4pm, </w:t>
      </w:r>
      <w:proofErr w:type="spellStart"/>
      <w:r>
        <w:rPr>
          <w:sz w:val="28"/>
          <w:szCs w:val="28"/>
        </w:rPr>
        <w:t>Sp</w:t>
      </w:r>
      <w:r>
        <w:rPr>
          <w:color w:val="1F497D"/>
          <w:sz w:val="28"/>
          <w:szCs w:val="28"/>
        </w:rPr>
        <w:t>i</w:t>
      </w:r>
      <w:r>
        <w:rPr>
          <w:sz w:val="28"/>
          <w:szCs w:val="28"/>
        </w:rPr>
        <w:t>ta</w:t>
      </w:r>
      <w:bookmarkStart w:id="0" w:name="_GoBack"/>
      <w:bookmarkEnd w:id="0"/>
      <w:r>
        <w:rPr>
          <w:sz w:val="28"/>
          <w:szCs w:val="28"/>
        </w:rPr>
        <w:t>lfie</w:t>
      </w:r>
      <w:r>
        <w:rPr>
          <w:color w:val="1F497D"/>
          <w:sz w:val="28"/>
          <w:szCs w:val="28"/>
        </w:rPr>
        <w:t>l</w:t>
      </w:r>
      <w:r>
        <w:rPr>
          <w:sz w:val="28"/>
          <w:szCs w:val="28"/>
        </w:rPr>
        <w:t>ds</w:t>
      </w:r>
      <w:proofErr w:type="spellEnd"/>
      <w:r>
        <w:rPr>
          <w:sz w:val="28"/>
          <w:szCs w:val="28"/>
        </w:rPr>
        <w:t xml:space="preserve"> Housing Association, 78 Quaker Street, E1 6SW</w:t>
      </w:r>
    </w:p>
    <w:p w:rsidR="00242FF7" w:rsidRDefault="00242FF7" w:rsidP="00242FF7">
      <w:pPr>
        <w:pStyle w:val="NoSpacing"/>
        <w:rPr>
          <w:sz w:val="28"/>
          <w:szCs w:val="28"/>
        </w:rPr>
      </w:pPr>
    </w:p>
    <w:p w:rsidR="00242FF7" w:rsidRDefault="00242FF7" w:rsidP="00242FF7">
      <w:pPr>
        <w:pStyle w:val="NoSpacing"/>
        <w:numPr>
          <w:ilvl w:val="0"/>
          <w:numId w:val="1"/>
        </w:numPr>
        <w:rPr>
          <w:rFonts w:ascii="Calibri" w:hAnsi="Calibri"/>
          <w:sz w:val="22"/>
          <w:szCs w:val="22"/>
        </w:rPr>
      </w:pPr>
      <w:r>
        <w:t>Please send requests/suggestions for agenda / training / information items</w:t>
      </w:r>
    </w:p>
    <w:p w:rsidR="00242FF7" w:rsidRDefault="00242FF7" w:rsidP="00242FF7">
      <w:pPr>
        <w:pStyle w:val="NoSpacing"/>
        <w:rPr>
          <w:rFonts w:ascii="Calibri" w:hAnsi="Calibri"/>
          <w:sz w:val="22"/>
          <w:szCs w:val="22"/>
        </w:rPr>
      </w:pPr>
    </w:p>
    <w:p w:rsidR="00242FF7" w:rsidRDefault="00242FF7" w:rsidP="00242FF7">
      <w:pPr>
        <w:pStyle w:val="NoSpacing"/>
        <w:rPr>
          <w:b/>
          <w:bCs/>
          <w:color w:val="1F497D"/>
          <w:sz w:val="28"/>
          <w:szCs w:val="28"/>
          <w:u w:val="single"/>
        </w:rPr>
      </w:pPr>
    </w:p>
    <w:p w:rsidR="00242FF7" w:rsidRDefault="00242FF7" w:rsidP="00242FF7">
      <w:pPr>
        <w:pStyle w:val="NoSpacing"/>
        <w:rPr>
          <w:color w:val="FF0000"/>
          <w:sz w:val="28"/>
          <w:szCs w:val="28"/>
        </w:rPr>
      </w:pPr>
      <w:r>
        <w:rPr>
          <w:b/>
          <w:bCs/>
          <w:color w:val="FF0000"/>
          <w:sz w:val="28"/>
          <w:szCs w:val="28"/>
          <w:u w:val="single"/>
        </w:rPr>
        <w:t>Free Training Sessions</w:t>
      </w:r>
      <w:r>
        <w:rPr>
          <w:color w:val="FF0000"/>
          <w:sz w:val="28"/>
          <w:szCs w:val="28"/>
        </w:rPr>
        <w:t xml:space="preserve">  </w:t>
      </w:r>
    </w:p>
    <w:p w:rsidR="00242FF7" w:rsidRDefault="00242FF7" w:rsidP="00242FF7">
      <w:pPr>
        <w:pStyle w:val="NoSpacing"/>
        <w:rPr>
          <w:b/>
          <w:bCs/>
          <w:color w:val="1F497D"/>
          <w:u w:val="single"/>
        </w:rPr>
      </w:pPr>
    </w:p>
    <w:tbl>
      <w:tblPr>
        <w:tblW w:w="9953" w:type="dxa"/>
        <w:tblInd w:w="93" w:type="dxa"/>
        <w:tblCellMar>
          <w:left w:w="0" w:type="dxa"/>
          <w:right w:w="0" w:type="dxa"/>
        </w:tblCellMar>
        <w:tblLook w:val="04A0" w:firstRow="1" w:lastRow="0" w:firstColumn="1" w:lastColumn="0" w:noHBand="0" w:noVBand="1"/>
      </w:tblPr>
      <w:tblGrid>
        <w:gridCol w:w="2287"/>
        <w:gridCol w:w="3422"/>
        <w:gridCol w:w="2006"/>
        <w:gridCol w:w="2238"/>
      </w:tblGrid>
      <w:tr w:rsidR="00242FF7" w:rsidTr="00242FF7">
        <w:trPr>
          <w:trHeight w:val="1"/>
        </w:trPr>
        <w:tc>
          <w:tcPr>
            <w:tcW w:w="22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2FF7" w:rsidRDefault="00242FF7">
            <w:pPr>
              <w:spacing w:after="0" w:line="240" w:lineRule="auto"/>
              <w:rPr>
                <w:b/>
                <w:bCs/>
              </w:rPr>
            </w:pPr>
            <w:r>
              <w:rPr>
                <w:b/>
                <w:bCs/>
              </w:rPr>
              <w:t>Advice Skills</w:t>
            </w:r>
          </w:p>
          <w:p w:rsidR="00242FF7" w:rsidRDefault="00242FF7">
            <w:pPr>
              <w:spacing w:after="0" w:line="240" w:lineRule="auto"/>
              <w:rPr>
                <w:rFonts w:ascii="Calibri" w:hAnsi="Calibri"/>
                <w:b/>
                <w:bCs/>
                <w:sz w:val="22"/>
                <w:szCs w:val="22"/>
              </w:rPr>
            </w:pPr>
          </w:p>
          <w:p w:rsidR="00242FF7" w:rsidRDefault="00242FF7">
            <w:pPr>
              <w:spacing w:after="0" w:line="240" w:lineRule="auto"/>
              <w:rPr>
                <w:b/>
                <w:bCs/>
              </w:rPr>
            </w:pPr>
            <w:r>
              <w:t>One day training session</w:t>
            </w:r>
          </w:p>
        </w:tc>
        <w:tc>
          <w:tcPr>
            <w:tcW w:w="34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2FF7" w:rsidRDefault="00242FF7">
            <w:pPr>
              <w:spacing w:after="0" w:line="240" w:lineRule="auto"/>
              <w:rPr>
                <w:sz w:val="22"/>
                <w:szCs w:val="22"/>
                <w:lang w:eastAsia="en-GB"/>
              </w:rPr>
            </w:pPr>
            <w:r>
              <w:t xml:space="preserve">Introduction on key principles and skills for advice: policy and procedures, structure for initial interview, communication skills, case recording, letters, advice resources </w:t>
            </w:r>
          </w:p>
          <w:p w:rsidR="00242FF7" w:rsidRDefault="00242FF7">
            <w:pPr>
              <w:spacing w:after="0" w:line="240" w:lineRule="auto"/>
            </w:pPr>
            <w:r>
              <w:rPr>
                <w:b/>
                <w:bCs/>
                <w:u w:val="single"/>
              </w:rPr>
              <w:t>Suitable for</w:t>
            </w:r>
            <w:r>
              <w:t xml:space="preserve"> new advisors/volunteers or supervisors who want to use information to deliver this advice skills training session for staff/volunteers</w:t>
            </w:r>
          </w:p>
        </w:tc>
        <w:tc>
          <w:tcPr>
            <w:tcW w:w="20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2FF7" w:rsidRDefault="00242FF7">
            <w:pPr>
              <w:spacing w:after="0" w:line="240" w:lineRule="auto"/>
            </w:pPr>
            <w:r>
              <w:t>Island Advice</w:t>
            </w:r>
          </w:p>
          <w:p w:rsidR="00242FF7" w:rsidRDefault="00242FF7">
            <w:pPr>
              <w:spacing w:after="0" w:line="240" w:lineRule="auto"/>
            </w:pPr>
            <w:r>
              <w:t>Island House</w:t>
            </w:r>
          </w:p>
          <w:p w:rsidR="00242FF7" w:rsidRDefault="00242FF7">
            <w:pPr>
              <w:spacing w:after="0" w:line="240" w:lineRule="auto"/>
            </w:pPr>
            <w:proofErr w:type="spellStart"/>
            <w:r>
              <w:t>Roserton</w:t>
            </w:r>
            <w:proofErr w:type="spellEnd"/>
            <w:r>
              <w:t xml:space="preserve"> Street</w:t>
            </w:r>
          </w:p>
          <w:p w:rsidR="00242FF7" w:rsidRDefault="00242FF7">
            <w:pPr>
              <w:spacing w:after="0" w:line="240" w:lineRule="auto"/>
            </w:pPr>
            <w:r>
              <w:t>E14 3PG</w:t>
            </w:r>
          </w:p>
        </w:tc>
        <w:tc>
          <w:tcPr>
            <w:tcW w:w="22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2FF7" w:rsidRDefault="00242FF7">
            <w:pPr>
              <w:spacing w:after="0" w:line="240" w:lineRule="auto"/>
            </w:pPr>
            <w:r>
              <w:t>Jo Ellis</w:t>
            </w:r>
          </w:p>
          <w:p w:rsidR="00242FF7" w:rsidRDefault="00242FF7">
            <w:pPr>
              <w:spacing w:after="0" w:line="240" w:lineRule="auto"/>
            </w:pPr>
            <w:r>
              <w:t>6</w:t>
            </w:r>
            <w:r>
              <w:rPr>
                <w:vertAlign w:val="superscript"/>
              </w:rPr>
              <w:t>th</w:t>
            </w:r>
            <w:r>
              <w:t xml:space="preserve"> June 2019</w:t>
            </w:r>
          </w:p>
          <w:p w:rsidR="00242FF7" w:rsidRDefault="00242FF7">
            <w:pPr>
              <w:spacing w:after="0" w:line="240" w:lineRule="auto"/>
            </w:pPr>
            <w:r>
              <w:t>10am -4pm</w:t>
            </w:r>
          </w:p>
        </w:tc>
      </w:tr>
      <w:tr w:rsidR="00242FF7" w:rsidTr="00242FF7">
        <w:trPr>
          <w:trHeight w:val="1"/>
        </w:trPr>
        <w:tc>
          <w:tcPr>
            <w:tcW w:w="228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242FF7" w:rsidRDefault="00242FF7">
            <w:pPr>
              <w:spacing w:after="0" w:line="240" w:lineRule="auto"/>
              <w:rPr>
                <w:b/>
                <w:bCs/>
                <w:sz w:val="22"/>
                <w:szCs w:val="22"/>
                <w:lang w:eastAsia="en-GB"/>
              </w:rPr>
            </w:pPr>
            <w:r>
              <w:rPr>
                <w:b/>
                <w:bCs/>
              </w:rPr>
              <w:t xml:space="preserve">Appeals  </w:t>
            </w:r>
          </w:p>
          <w:p w:rsidR="00242FF7" w:rsidRDefault="00242FF7">
            <w:pPr>
              <w:spacing w:after="0" w:line="240" w:lineRule="auto"/>
            </w:pPr>
            <w:r>
              <w:t>½ day training session</w:t>
            </w:r>
          </w:p>
        </w:tc>
        <w:tc>
          <w:tcPr>
            <w:tcW w:w="3422" w:type="dxa"/>
            <w:tcBorders>
              <w:top w:val="nil"/>
              <w:left w:val="nil"/>
              <w:bottom w:val="nil"/>
              <w:right w:val="single" w:sz="8" w:space="0" w:color="000000"/>
            </w:tcBorders>
            <w:shd w:val="clear" w:color="auto" w:fill="FFFFFF"/>
            <w:tcMar>
              <w:top w:w="0" w:type="dxa"/>
              <w:left w:w="108" w:type="dxa"/>
              <w:bottom w:w="0" w:type="dxa"/>
              <w:right w:w="108" w:type="dxa"/>
            </w:tcMar>
          </w:tcPr>
          <w:p w:rsidR="00242FF7" w:rsidRDefault="00242FF7">
            <w:pPr>
              <w:spacing w:after="0" w:line="240" w:lineRule="auto"/>
            </w:pPr>
          </w:p>
          <w:p w:rsidR="00242FF7" w:rsidRDefault="00242FF7" w:rsidP="00674C51">
            <w:pPr>
              <w:numPr>
                <w:ilvl w:val="0"/>
                <w:numId w:val="2"/>
              </w:numPr>
              <w:spacing w:after="0" w:line="240" w:lineRule="auto"/>
              <w:ind w:left="360" w:hanging="360"/>
              <w:rPr>
                <w:sz w:val="22"/>
                <w:szCs w:val="22"/>
                <w:shd w:val="clear" w:color="auto" w:fill="FFFFFF"/>
                <w:lang w:eastAsia="en-GB"/>
              </w:rPr>
            </w:pPr>
            <w:r>
              <w:t>Understanding</w:t>
            </w:r>
            <w:r>
              <w:rPr>
                <w:shd w:val="clear" w:color="auto" w:fill="FFFFFF"/>
              </w:rPr>
              <w:t xml:space="preserve"> procedure for</w:t>
            </w:r>
            <w:r>
              <w:t xml:space="preserve"> </w:t>
            </w:r>
            <w:r>
              <w:rPr>
                <w:shd w:val="clear" w:color="auto" w:fill="FFFFFF"/>
              </w:rPr>
              <w:t>Mandatory Reconsiderations and appeals</w:t>
            </w:r>
          </w:p>
          <w:p w:rsidR="00242FF7" w:rsidRDefault="00242FF7" w:rsidP="00674C51">
            <w:pPr>
              <w:numPr>
                <w:ilvl w:val="0"/>
                <w:numId w:val="2"/>
              </w:numPr>
              <w:spacing w:after="0" w:line="240" w:lineRule="auto"/>
              <w:ind w:left="360" w:hanging="360"/>
              <w:rPr>
                <w:shd w:val="clear" w:color="auto" w:fill="FFFFFF"/>
              </w:rPr>
            </w:pPr>
            <w:r>
              <w:t>how to set out an appeal submission; format, checking case law, presenting the case for your client</w:t>
            </w:r>
          </w:p>
          <w:p w:rsidR="00242FF7" w:rsidRDefault="00242FF7" w:rsidP="00674C51">
            <w:pPr>
              <w:numPr>
                <w:ilvl w:val="0"/>
                <w:numId w:val="2"/>
              </w:numPr>
              <w:spacing w:after="0" w:line="240" w:lineRule="auto"/>
              <w:ind w:left="360" w:hanging="360"/>
              <w:rPr>
                <w:shd w:val="clear" w:color="auto" w:fill="FFFFFF"/>
              </w:rPr>
            </w:pPr>
            <w:r>
              <w:rPr>
                <w:b/>
                <w:bCs/>
                <w:u w:val="single"/>
                <w:shd w:val="clear" w:color="auto" w:fill="FFFFFF"/>
              </w:rPr>
              <w:t>Suitable for</w:t>
            </w:r>
            <w:r>
              <w:rPr>
                <w:shd w:val="clear" w:color="auto" w:fill="FFFFFF"/>
              </w:rPr>
              <w:t xml:space="preserve"> Benefit/advice workers with good knowledge of benefit system</w:t>
            </w:r>
          </w:p>
        </w:tc>
        <w:tc>
          <w:tcPr>
            <w:tcW w:w="200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242FF7" w:rsidRDefault="00242FF7">
            <w:pPr>
              <w:spacing w:after="0" w:line="240" w:lineRule="auto"/>
            </w:pPr>
            <w:r>
              <w:t>Island Advice</w:t>
            </w:r>
          </w:p>
          <w:p w:rsidR="00242FF7" w:rsidRDefault="00242FF7">
            <w:pPr>
              <w:spacing w:after="0" w:line="240" w:lineRule="auto"/>
            </w:pPr>
            <w:r>
              <w:t>Island House</w:t>
            </w:r>
          </w:p>
          <w:p w:rsidR="00242FF7" w:rsidRDefault="00242FF7">
            <w:pPr>
              <w:spacing w:after="0" w:line="240" w:lineRule="auto"/>
            </w:pPr>
            <w:proofErr w:type="spellStart"/>
            <w:r>
              <w:t>Roserton</w:t>
            </w:r>
            <w:proofErr w:type="spellEnd"/>
            <w:r>
              <w:t xml:space="preserve"> Street</w:t>
            </w:r>
          </w:p>
          <w:p w:rsidR="00242FF7" w:rsidRDefault="00242FF7">
            <w:pPr>
              <w:spacing w:after="0" w:line="240" w:lineRule="auto"/>
              <w:rPr>
                <w:color w:val="FF0000"/>
              </w:rPr>
            </w:pPr>
            <w:r>
              <w:t>E14 3PG</w:t>
            </w:r>
          </w:p>
        </w:tc>
        <w:tc>
          <w:tcPr>
            <w:tcW w:w="223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242FF7" w:rsidRDefault="00242FF7">
            <w:pPr>
              <w:spacing w:after="0" w:line="240" w:lineRule="auto"/>
            </w:pPr>
            <w:r>
              <w:t>Fatima Begum</w:t>
            </w:r>
          </w:p>
          <w:p w:rsidR="00242FF7" w:rsidRDefault="00242FF7">
            <w:pPr>
              <w:spacing w:after="0" w:line="240" w:lineRule="auto"/>
            </w:pPr>
            <w:r>
              <w:t>20</w:t>
            </w:r>
            <w:r>
              <w:rPr>
                <w:vertAlign w:val="superscript"/>
              </w:rPr>
              <w:t>th</w:t>
            </w:r>
            <w:r>
              <w:t xml:space="preserve"> June 2019</w:t>
            </w:r>
          </w:p>
          <w:p w:rsidR="00242FF7" w:rsidRDefault="00242FF7">
            <w:pPr>
              <w:spacing w:after="0" w:line="240" w:lineRule="auto"/>
            </w:pPr>
            <w:r>
              <w:t>1-4pm</w:t>
            </w:r>
          </w:p>
        </w:tc>
      </w:tr>
      <w:tr w:rsidR="00242FF7" w:rsidTr="00242FF7">
        <w:trPr>
          <w:trHeight w:val="1"/>
        </w:trPr>
        <w:tc>
          <w:tcPr>
            <w:tcW w:w="228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2FF7" w:rsidRDefault="00242FF7">
            <w:pPr>
              <w:spacing w:after="0" w:line="240" w:lineRule="auto"/>
              <w:rPr>
                <w:b/>
                <w:bCs/>
              </w:rPr>
            </w:pPr>
          </w:p>
        </w:tc>
        <w:tc>
          <w:tcPr>
            <w:tcW w:w="3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42FF7" w:rsidRDefault="00242FF7">
            <w:pPr>
              <w:spacing w:after="0" w:line="240" w:lineRule="auto"/>
            </w:pPr>
          </w:p>
        </w:tc>
        <w:tc>
          <w:tcPr>
            <w:tcW w:w="20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42FF7" w:rsidRDefault="00242FF7">
            <w:pPr>
              <w:spacing w:after="0" w:line="240" w:lineRule="auto"/>
            </w:pPr>
          </w:p>
        </w:tc>
        <w:tc>
          <w:tcPr>
            <w:tcW w:w="22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42FF7" w:rsidRDefault="00242FF7">
            <w:pPr>
              <w:spacing w:after="0" w:line="240" w:lineRule="auto"/>
            </w:pPr>
          </w:p>
        </w:tc>
      </w:tr>
    </w:tbl>
    <w:p w:rsidR="00242FF7" w:rsidRDefault="00242FF7" w:rsidP="00242FF7">
      <w:pPr>
        <w:pStyle w:val="NoSpacing"/>
        <w:rPr>
          <w:b/>
          <w:bCs/>
          <w:color w:val="1F497D"/>
          <w:u w:val="single"/>
        </w:rPr>
      </w:pPr>
    </w:p>
    <w:p w:rsidR="00242FF7" w:rsidRDefault="00242FF7" w:rsidP="00242FF7">
      <w:pPr>
        <w:pStyle w:val="NoSpacing"/>
      </w:pPr>
      <w:r>
        <w:rPr>
          <w:b/>
          <w:bCs/>
          <w:u w:val="single"/>
        </w:rPr>
        <w:t>Email</w:t>
      </w:r>
      <w:r>
        <w:t xml:space="preserve"> </w:t>
      </w:r>
      <w:hyperlink r:id="rId6" w:history="1">
        <w:r>
          <w:rPr>
            <w:rStyle w:val="Hyperlink"/>
            <w:color w:val="auto"/>
          </w:rPr>
          <w:t>jo.ellis@island-advice.org.uk</w:t>
        </w:r>
      </w:hyperlink>
      <w:r>
        <w:t xml:space="preserve"> to book a place</w:t>
      </w:r>
    </w:p>
    <w:p w:rsidR="00242FF7" w:rsidRDefault="00242FF7" w:rsidP="00242FF7">
      <w:pPr>
        <w:pStyle w:val="NoSpacing"/>
      </w:pPr>
    </w:p>
    <w:p w:rsidR="00242FF7" w:rsidRDefault="00242FF7" w:rsidP="00242FF7">
      <w:pPr>
        <w:pStyle w:val="NoSpacing"/>
        <w:rPr>
          <w:rFonts w:ascii="Calibri" w:hAnsi="Calibri"/>
          <w:b/>
          <w:bCs/>
          <w:color w:val="1F497D"/>
          <w:sz w:val="22"/>
          <w:szCs w:val="22"/>
          <w:u w:val="single"/>
        </w:rPr>
      </w:pPr>
    </w:p>
    <w:p w:rsidR="00242FF7" w:rsidRDefault="00242FF7" w:rsidP="00242FF7">
      <w:pPr>
        <w:pStyle w:val="NoSpacing"/>
        <w:rPr>
          <w:rFonts w:ascii="Calibri" w:hAnsi="Calibri"/>
          <w:b/>
          <w:bCs/>
          <w:color w:val="1F497D"/>
          <w:sz w:val="22"/>
          <w:szCs w:val="22"/>
          <w:u w:val="single"/>
        </w:rPr>
      </w:pPr>
    </w:p>
    <w:p w:rsidR="00242FF7" w:rsidRDefault="00242FF7" w:rsidP="00242FF7">
      <w:pPr>
        <w:pStyle w:val="NoSpacing"/>
        <w:rPr>
          <w:b/>
          <w:bCs/>
          <w:sz w:val="32"/>
          <w:szCs w:val="32"/>
          <w:u w:val="single"/>
        </w:rPr>
      </w:pPr>
      <w:r>
        <w:rPr>
          <w:b/>
          <w:bCs/>
          <w:color w:val="FF0000"/>
          <w:sz w:val="32"/>
          <w:szCs w:val="32"/>
          <w:u w:val="single"/>
        </w:rPr>
        <w:lastRenderedPageBreak/>
        <w:t>Benefit Up-dates</w:t>
      </w:r>
    </w:p>
    <w:p w:rsidR="00242FF7" w:rsidRDefault="00242FF7" w:rsidP="00242FF7">
      <w:pPr>
        <w:pStyle w:val="NoSpacing"/>
        <w:rPr>
          <w:rFonts w:ascii="Calibri" w:hAnsi="Calibri"/>
          <w:color w:val="1F497D"/>
          <w:sz w:val="22"/>
          <w:szCs w:val="22"/>
        </w:rPr>
      </w:pPr>
    </w:p>
    <w:p w:rsidR="00242FF7" w:rsidRDefault="00242FF7" w:rsidP="00242FF7">
      <w:pPr>
        <w:pStyle w:val="NoSpacing"/>
        <w:numPr>
          <w:ilvl w:val="0"/>
          <w:numId w:val="3"/>
        </w:numPr>
        <w:rPr>
          <w:lang w:val="en" w:eastAsia="en-GB"/>
        </w:rPr>
      </w:pPr>
      <w:r>
        <w:rPr>
          <w:lang w:val="en" w:eastAsia="en-GB"/>
        </w:rPr>
        <w:t>Pension Credit</w:t>
      </w:r>
    </w:p>
    <w:p w:rsidR="00242FF7" w:rsidRDefault="00242FF7" w:rsidP="00242FF7">
      <w:pPr>
        <w:pStyle w:val="NoSpacing"/>
        <w:rPr>
          <w:rFonts w:ascii="Calibri" w:hAnsi="Calibri"/>
          <w:color w:val="1F497D"/>
          <w:sz w:val="22"/>
          <w:szCs w:val="22"/>
          <w:lang w:val="en" w:eastAsia="en-GB"/>
        </w:rPr>
      </w:pPr>
    </w:p>
    <w:p w:rsidR="00242FF7" w:rsidRDefault="00242FF7" w:rsidP="00242FF7">
      <w:r>
        <w:rPr>
          <w:lang w:val="en" w:eastAsia="en-GB"/>
        </w:rPr>
        <w:t xml:space="preserve">Info sent out in last welfare rights advisors information regarding, couples where one partner is aged above Pension Credit age and the other is aged under Pension Credit age, no longer be able to make a new claim for Pension Credit. Instead they will have to claim Universal Credit and </w:t>
      </w:r>
      <w:proofErr w:type="spellStart"/>
      <w:r>
        <w:rPr>
          <w:lang w:val="en" w:eastAsia="en-GB"/>
        </w:rPr>
        <w:t>wil</w:t>
      </w:r>
      <w:proofErr w:type="spellEnd"/>
      <w:r>
        <w:t xml:space="preserve">l only be able to claim Pension Credit if </w:t>
      </w:r>
      <w:r>
        <w:rPr>
          <w:u w:val="single"/>
        </w:rPr>
        <w:t>both</w:t>
      </w:r>
      <w:r>
        <w:t xml:space="preserve"> are over 65.  </w:t>
      </w:r>
    </w:p>
    <w:p w:rsidR="00242FF7" w:rsidRDefault="00242FF7" w:rsidP="00242FF7">
      <w:pPr>
        <w:rPr>
          <w:color w:val="1F497D"/>
        </w:rPr>
      </w:pPr>
      <w:r>
        <w:t xml:space="preserve">Further clarification from HB about this is </w:t>
      </w:r>
    </w:p>
    <w:p w:rsidR="00242FF7" w:rsidRDefault="00242FF7" w:rsidP="00242FF7">
      <w:pPr>
        <w:ind w:left="720"/>
      </w:pPr>
      <w:r>
        <w:t>UC for Mixed Age Pensioner Couples</w:t>
      </w:r>
    </w:p>
    <w:p w:rsidR="00242FF7" w:rsidRDefault="00242FF7" w:rsidP="00242FF7">
      <w:pPr>
        <w:ind w:left="720"/>
      </w:pPr>
      <w:r>
        <w:t xml:space="preserve">Currently couples where one partner is a pensioner and the other is below pension age are eligible to claim both Housing Benefit and Pension Credit  </w:t>
      </w:r>
    </w:p>
    <w:p w:rsidR="00242FF7" w:rsidRDefault="00242FF7" w:rsidP="00242FF7">
      <w:pPr>
        <w:ind w:left="720"/>
      </w:pPr>
      <w:r>
        <w:t>However, this will change from 15 May 2019 when these couples will not be able to make a new claim for either Pension Credit or Housing Benefit and will instead need to claim Universal Credit unless they were getting:</w:t>
      </w:r>
    </w:p>
    <w:p w:rsidR="00242FF7" w:rsidRDefault="00242FF7" w:rsidP="00242FF7">
      <w:pPr>
        <w:ind w:left="720"/>
      </w:pPr>
      <w:r>
        <w:t>•             Housing Benefit or</w:t>
      </w:r>
    </w:p>
    <w:p w:rsidR="00242FF7" w:rsidRDefault="00242FF7" w:rsidP="00242FF7">
      <w:pPr>
        <w:ind w:left="720"/>
      </w:pPr>
      <w:r>
        <w:t>•             Pension Credit or</w:t>
      </w:r>
    </w:p>
    <w:p w:rsidR="00242FF7" w:rsidRDefault="00242FF7" w:rsidP="00242FF7">
      <w:pPr>
        <w:ind w:left="720"/>
      </w:pPr>
      <w:r>
        <w:t>•             both</w:t>
      </w:r>
    </w:p>
    <w:p w:rsidR="00242FF7" w:rsidRDefault="00242FF7" w:rsidP="00242FF7">
      <w:pPr>
        <w:ind w:left="720"/>
      </w:pPr>
      <w:r>
        <w:t xml:space="preserve">These couples will continue to be eligible for HB and PC after 14 May 2019 unless there is a break in entitlement to both HB and PC on or after 15 May 2019. </w:t>
      </w:r>
    </w:p>
    <w:p w:rsidR="00242FF7" w:rsidRDefault="00242FF7" w:rsidP="00242FF7">
      <w:pPr>
        <w:ind w:left="720"/>
      </w:pPr>
      <w:r>
        <w:t>HB exemption for supported and temporary homeless accommodation will also still  apply to these couples.</w:t>
      </w:r>
    </w:p>
    <w:p w:rsidR="00242FF7" w:rsidRDefault="00242FF7" w:rsidP="00242FF7">
      <w:pPr>
        <w:pStyle w:val="NoSpacing"/>
        <w:numPr>
          <w:ilvl w:val="0"/>
          <w:numId w:val="3"/>
        </w:numPr>
      </w:pPr>
    </w:p>
    <w:p w:rsidR="00242FF7" w:rsidRDefault="00242FF7" w:rsidP="00242FF7">
      <w:pPr>
        <w:pStyle w:val="NoSpacing"/>
        <w:rPr>
          <w:rFonts w:ascii="Calibri" w:hAnsi="Calibri"/>
          <w:color w:val="1F497D"/>
          <w:sz w:val="22"/>
          <w:szCs w:val="22"/>
        </w:rPr>
      </w:pPr>
    </w:p>
    <w:p w:rsidR="00242FF7" w:rsidRDefault="00242FF7" w:rsidP="00242FF7">
      <w:pPr>
        <w:pStyle w:val="NoSpacing"/>
        <w:rPr>
          <w:b/>
          <w:bCs/>
          <w:color w:val="1F497D"/>
          <w:sz w:val="28"/>
          <w:szCs w:val="28"/>
          <w:u w:val="single"/>
        </w:rPr>
      </w:pPr>
    </w:p>
    <w:p w:rsidR="00242FF7" w:rsidRDefault="00242FF7" w:rsidP="00242FF7">
      <w:pPr>
        <w:pStyle w:val="NoSpacing"/>
        <w:rPr>
          <w:b/>
          <w:bCs/>
          <w:color w:val="FF0000"/>
          <w:sz w:val="28"/>
          <w:szCs w:val="28"/>
          <w:u w:val="single"/>
        </w:rPr>
      </w:pPr>
      <w:r>
        <w:rPr>
          <w:b/>
          <w:bCs/>
          <w:color w:val="FF0000"/>
          <w:sz w:val="28"/>
          <w:szCs w:val="28"/>
          <w:u w:val="single"/>
        </w:rPr>
        <w:t>Social Policy/Campaign Information</w:t>
      </w:r>
    </w:p>
    <w:p w:rsidR="00242FF7" w:rsidRDefault="00242FF7" w:rsidP="00242FF7">
      <w:pPr>
        <w:pStyle w:val="NoSpacing"/>
        <w:rPr>
          <w:rFonts w:ascii="Calibri" w:hAnsi="Calibri"/>
          <w:b/>
          <w:bCs/>
          <w:color w:val="1F497D"/>
          <w:sz w:val="22"/>
          <w:szCs w:val="22"/>
          <w:u w:val="single"/>
        </w:rPr>
      </w:pPr>
    </w:p>
    <w:p w:rsidR="00242FF7" w:rsidRDefault="00242FF7" w:rsidP="00242FF7">
      <w:pPr>
        <w:pStyle w:val="ListParagraph"/>
        <w:numPr>
          <w:ilvl w:val="0"/>
          <w:numId w:val="1"/>
        </w:numPr>
      </w:pPr>
      <w:r>
        <w:t xml:space="preserve">Amber our benefit advisor wants to find out if  anyone else has seen a rise recently with deductions being taken from benefit (specifically not UC) without the client receiving any decision notice for the OP and therefore not having chance to challenge? If so might be something THCAN could/should raise as an issue with DWP – please email Amber van Boost </w:t>
      </w:r>
      <w:hyperlink r:id="rId7" w:history="1">
        <w:r>
          <w:rPr>
            <w:rStyle w:val="Hyperlink"/>
          </w:rPr>
          <w:t>Amber.vanBoost@island-advice.org.uk</w:t>
        </w:r>
      </w:hyperlink>
      <w:r>
        <w:t xml:space="preserve"> </w:t>
      </w:r>
    </w:p>
    <w:p w:rsidR="00242FF7" w:rsidRDefault="00242FF7" w:rsidP="00242FF7">
      <w:pPr>
        <w:pStyle w:val="NoSpacing"/>
      </w:pPr>
    </w:p>
    <w:p w:rsidR="00242FF7" w:rsidRDefault="00242FF7" w:rsidP="00242FF7">
      <w:pPr>
        <w:pStyle w:val="NoSpacing"/>
        <w:rPr>
          <w:b/>
          <w:bCs/>
          <w:color w:val="FF0000"/>
          <w:sz w:val="28"/>
          <w:szCs w:val="28"/>
          <w:u w:val="single"/>
        </w:rPr>
      </w:pPr>
      <w:r>
        <w:rPr>
          <w:b/>
          <w:bCs/>
          <w:color w:val="FF0000"/>
          <w:sz w:val="28"/>
          <w:szCs w:val="28"/>
          <w:u w:val="single"/>
        </w:rPr>
        <w:t>Other Information</w:t>
      </w:r>
    </w:p>
    <w:p w:rsidR="00242FF7" w:rsidRDefault="00242FF7" w:rsidP="00242FF7">
      <w:pPr>
        <w:pStyle w:val="ListParagraph"/>
        <w:ind w:left="360"/>
        <w:rPr>
          <w:color w:val="1F497D"/>
        </w:rPr>
      </w:pPr>
    </w:p>
    <w:p w:rsidR="00242FF7" w:rsidRDefault="00242FF7" w:rsidP="00242FF7">
      <w:pPr>
        <w:pStyle w:val="ListParagraph"/>
        <w:numPr>
          <w:ilvl w:val="0"/>
          <w:numId w:val="4"/>
        </w:numPr>
        <w:rPr>
          <w:color w:val="1F497D"/>
        </w:rPr>
      </w:pPr>
      <w:hyperlink r:id="rId8" w:history="1">
        <w:r>
          <w:rPr>
            <w:rStyle w:val="Hyperlink"/>
            <w:color w:val="auto"/>
          </w:rPr>
          <w:t>http://thcan.org.uk/factsheets/</w:t>
        </w:r>
      </w:hyperlink>
      <w:r>
        <w:t xml:space="preserve">  Complaints to DWP has been updated again </w:t>
      </w:r>
    </w:p>
    <w:p w:rsidR="00242FF7" w:rsidRDefault="00242FF7" w:rsidP="00242FF7">
      <w:pPr>
        <w:spacing w:line="300" w:lineRule="auto"/>
        <w:rPr>
          <w:rStyle w:val="Strong"/>
          <w:rFonts w:ascii="Trebuchet MS" w:hAnsi="Trebuchet MS"/>
          <w:color w:val="01539D"/>
        </w:rPr>
      </w:pPr>
    </w:p>
    <w:p w:rsidR="00242FF7" w:rsidRDefault="00242FF7" w:rsidP="00242FF7">
      <w:pPr>
        <w:pStyle w:val="ListParagraph"/>
        <w:numPr>
          <w:ilvl w:val="0"/>
          <w:numId w:val="4"/>
        </w:numPr>
        <w:spacing w:line="300" w:lineRule="auto"/>
      </w:pPr>
      <w:r>
        <w:rPr>
          <w:rStyle w:val="Strong"/>
          <w:rFonts w:ascii="Trebuchet MS" w:hAnsi="Trebuchet MS"/>
          <w:color w:val="01539D"/>
        </w:rPr>
        <w:lastRenderedPageBreak/>
        <w:t xml:space="preserve">Marriage Allowance Information ( </w:t>
      </w:r>
      <w:hyperlink r:id="rId9" w:history="1">
        <w:r>
          <w:rPr>
            <w:rStyle w:val="Hyperlink"/>
            <w:rFonts w:ascii="Trebuchet MS" w:hAnsi="Trebuchet MS"/>
          </w:rPr>
          <w:t>taxcharities@taxvol.org.uk</w:t>
        </w:r>
      </w:hyperlink>
      <w:r>
        <w:rPr>
          <w:rStyle w:val="Strong"/>
          <w:rFonts w:ascii="Trebuchet MS" w:hAnsi="Trebuchet MS"/>
          <w:color w:val="01539D"/>
        </w:rPr>
        <w:t xml:space="preserve"> ) - </w:t>
      </w:r>
      <w:r>
        <w:rPr>
          <w:rFonts w:ascii="Trebuchet MS" w:hAnsi="Trebuchet MS"/>
          <w:color w:val="512760"/>
        </w:rPr>
        <w:t xml:space="preserve">If you’re married and your income is low enough to mean you don’t pay tax, Marriage Allowance allows you to give away some of your tax allowance to your spouse – and that can save up to £250 tax in the 2019/20 tax year. Backdating of Marriage Allowance to earlier years is possible, and could generate an immediate tax refund of up to £900, the non-taxpayer  has to apply– but it’s a simple process either on-line at </w:t>
      </w:r>
      <w:hyperlink r:id="rId10" w:history="1">
        <w:r>
          <w:rPr>
            <w:rStyle w:val="Hyperlink"/>
            <w:rFonts w:ascii="Trebuchet MS" w:hAnsi="Trebuchet MS"/>
            <w:color w:val="007C89"/>
          </w:rPr>
          <w:t>https://www.gov.uk/marriage-allowance</w:t>
        </w:r>
      </w:hyperlink>
      <w:r>
        <w:rPr>
          <w:rFonts w:ascii="Trebuchet MS" w:hAnsi="Trebuchet MS"/>
          <w:color w:val="512760"/>
        </w:rPr>
        <w:t xml:space="preserve"> or by ringing HMRC on 0300 200 3300.</w:t>
      </w:r>
    </w:p>
    <w:p w:rsidR="00242FF7" w:rsidRDefault="00242FF7" w:rsidP="00242FF7">
      <w:pPr>
        <w:pStyle w:val="ListParagraph"/>
        <w:rPr>
          <w:color w:val="1F497D"/>
        </w:rPr>
      </w:pPr>
    </w:p>
    <w:p w:rsidR="00242FF7" w:rsidRPr="00242FF7" w:rsidRDefault="00242FF7" w:rsidP="00242FF7">
      <w:pPr>
        <w:pStyle w:val="ListParagraph"/>
        <w:numPr>
          <w:ilvl w:val="0"/>
          <w:numId w:val="4"/>
        </w:numPr>
        <w:spacing w:line="300" w:lineRule="auto"/>
      </w:pPr>
      <w:r>
        <w:t> </w:t>
      </w:r>
      <w:r>
        <w:rPr>
          <w:color w:val="1F497D"/>
        </w:rPr>
        <w:t>DWP Newsletter April 2019</w:t>
      </w:r>
    </w:p>
    <w:p w:rsidR="00242FF7" w:rsidRDefault="00242FF7" w:rsidP="00242FF7"/>
    <w:p w:rsidR="00242FF7" w:rsidRDefault="00242FF7" w:rsidP="00242FF7">
      <w:pPr>
        <w:pStyle w:val="NoSpacing"/>
        <w:rPr>
          <w:b/>
          <w:bCs/>
          <w:sz w:val="32"/>
          <w:szCs w:val="32"/>
          <w:u w:val="single"/>
        </w:rPr>
      </w:pPr>
      <w:r>
        <w:rPr>
          <w:b/>
          <w:bCs/>
          <w:color w:val="FF0000"/>
          <w:sz w:val="32"/>
          <w:szCs w:val="32"/>
          <w:u w:val="single"/>
        </w:rPr>
        <w:t>Vacancies</w:t>
      </w:r>
    </w:p>
    <w:p w:rsidR="00242FF7" w:rsidRDefault="00242FF7" w:rsidP="00242FF7">
      <w:pPr>
        <w:spacing w:after="0" w:line="240" w:lineRule="auto"/>
      </w:pPr>
    </w:p>
    <w:p w:rsidR="00242FF7" w:rsidRDefault="00242FF7" w:rsidP="00242FF7">
      <w:pPr>
        <w:spacing w:after="0" w:line="240" w:lineRule="auto"/>
        <w:rPr>
          <w:rFonts w:ascii="Calibri" w:hAnsi="Calibri"/>
          <w:sz w:val="22"/>
          <w:szCs w:val="22"/>
        </w:rPr>
      </w:pPr>
      <w:r>
        <w:rPr>
          <w:rFonts w:ascii="Calibri" w:hAnsi="Calibri"/>
          <w:sz w:val="22"/>
          <w:szCs w:val="22"/>
        </w:rPr>
        <w:t> </w:t>
      </w:r>
    </w:p>
    <w:p w:rsidR="00242FF7" w:rsidRDefault="00242FF7" w:rsidP="00242FF7">
      <w:pPr>
        <w:spacing w:after="0" w:line="240" w:lineRule="auto"/>
        <w:rPr>
          <w:rFonts w:ascii="Calibri" w:hAnsi="Calibri"/>
          <w:color w:val="1F497D"/>
          <w:sz w:val="22"/>
          <w:szCs w:val="22"/>
        </w:rPr>
      </w:pPr>
    </w:p>
    <w:p w:rsidR="00242FF7" w:rsidRDefault="00242FF7" w:rsidP="00242FF7">
      <w:pPr>
        <w:pStyle w:val="NoSpacing"/>
        <w:rPr>
          <w:b/>
          <w:bCs/>
          <w:color w:val="FF0000"/>
          <w:sz w:val="28"/>
          <w:szCs w:val="28"/>
          <w:u w:val="single"/>
        </w:rPr>
      </w:pPr>
      <w:r>
        <w:rPr>
          <w:b/>
          <w:bCs/>
          <w:color w:val="FF0000"/>
          <w:sz w:val="28"/>
          <w:szCs w:val="28"/>
          <w:u w:val="single"/>
        </w:rPr>
        <w:t>Information exchange/services</w:t>
      </w:r>
    </w:p>
    <w:p w:rsidR="00242FF7" w:rsidRDefault="00242FF7" w:rsidP="00242FF7">
      <w:pPr>
        <w:pStyle w:val="NoSpacing"/>
        <w:rPr>
          <w:b/>
          <w:bCs/>
          <w:color w:val="FF0000"/>
          <w:u w:val="single"/>
        </w:rPr>
      </w:pPr>
    </w:p>
    <w:p w:rsidR="00242FF7" w:rsidRDefault="00242FF7" w:rsidP="00242FF7">
      <w:pPr>
        <w:pStyle w:val="NoSpacing"/>
        <w:rPr>
          <w:b/>
          <w:bCs/>
          <w:u w:val="single"/>
        </w:rPr>
      </w:pPr>
    </w:p>
    <w:p w:rsidR="00242FF7" w:rsidRDefault="00242FF7" w:rsidP="00242FF7">
      <w:pPr>
        <w:pStyle w:val="ListParagraph"/>
        <w:numPr>
          <w:ilvl w:val="0"/>
          <w:numId w:val="5"/>
        </w:numPr>
        <w:rPr>
          <w:color w:val="1F497D"/>
        </w:rPr>
      </w:pPr>
      <w:r>
        <w:t>DWP Newsletter March 2019 attached</w:t>
      </w:r>
    </w:p>
    <w:p w:rsidR="00242FF7" w:rsidRDefault="00242FF7" w:rsidP="00242FF7">
      <w:pPr>
        <w:pStyle w:val="ListParagraph"/>
        <w:ind w:left="0"/>
        <w:rPr>
          <w:rFonts w:ascii="Calibri" w:hAnsi="Calibri"/>
          <w:color w:val="1F497D"/>
          <w:sz w:val="22"/>
          <w:szCs w:val="22"/>
        </w:rPr>
      </w:pPr>
    </w:p>
    <w:p w:rsidR="00242FF7" w:rsidRDefault="00242FF7" w:rsidP="00242FF7">
      <w:pPr>
        <w:pStyle w:val="ListParagraph"/>
        <w:numPr>
          <w:ilvl w:val="0"/>
          <w:numId w:val="4"/>
        </w:numPr>
        <w:rPr>
          <w:color w:val="1F497D"/>
          <w:lang w:val="en-US" w:eastAsia="en-GB"/>
        </w:rPr>
      </w:pPr>
      <w:r>
        <w:rPr>
          <w:color w:val="1F497D"/>
        </w:rPr>
        <w:t>Financial Health Centre – Universal Credit support and home visits services a</w:t>
      </w:r>
      <w:r>
        <w:t>ttach flyer</w:t>
      </w:r>
      <w:r>
        <w:rPr>
          <w:color w:val="1F497D"/>
        </w:rPr>
        <w:t>s</w:t>
      </w:r>
    </w:p>
    <w:p w:rsidR="00B4689D" w:rsidRDefault="00B4689D"/>
    <w:sectPr w:rsidR="00B46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060E4"/>
    <w:multiLevelType w:val="hybridMultilevel"/>
    <w:tmpl w:val="5C103EA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DCB488E"/>
    <w:multiLevelType w:val="hybridMultilevel"/>
    <w:tmpl w:val="1BD0834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C52590"/>
    <w:multiLevelType w:val="multilevel"/>
    <w:tmpl w:val="765657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F412B29"/>
    <w:multiLevelType w:val="hybridMultilevel"/>
    <w:tmpl w:val="1A5ED7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D3168BD"/>
    <w:multiLevelType w:val="hybridMultilevel"/>
    <w:tmpl w:val="F05CA51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F7"/>
    <w:rsid w:val="00242FF7"/>
    <w:rsid w:val="00B4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326BE-9D15-45F1-9FAC-D3282595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F7"/>
    <w:pPr>
      <w:spacing w:line="252" w:lineRule="auto"/>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FF7"/>
    <w:rPr>
      <w:color w:val="0563C1"/>
      <w:u w:val="single"/>
    </w:rPr>
  </w:style>
  <w:style w:type="paragraph" w:styleId="NoSpacing">
    <w:name w:val="No Spacing"/>
    <w:basedOn w:val="Normal"/>
    <w:uiPriority w:val="1"/>
    <w:qFormat/>
    <w:rsid w:val="00242FF7"/>
    <w:pPr>
      <w:spacing w:after="0" w:line="240" w:lineRule="auto"/>
    </w:pPr>
  </w:style>
  <w:style w:type="paragraph" w:styleId="ListParagraph">
    <w:name w:val="List Paragraph"/>
    <w:basedOn w:val="Normal"/>
    <w:uiPriority w:val="34"/>
    <w:qFormat/>
    <w:rsid w:val="00242FF7"/>
    <w:pPr>
      <w:ind w:left="720"/>
      <w:contextualSpacing/>
    </w:pPr>
  </w:style>
  <w:style w:type="paragraph" w:customStyle="1" w:styleId="ydp27e880beyiv7211945953xxmsonormal">
    <w:name w:val="ydp27e880beyiv7211945953xxmsonormal"/>
    <w:basedOn w:val="Normal"/>
    <w:uiPriority w:val="99"/>
    <w:rsid w:val="00242FF7"/>
    <w:pPr>
      <w:spacing w:before="100" w:beforeAutospacing="1" w:after="100" w:afterAutospacing="1" w:line="240" w:lineRule="auto"/>
    </w:pPr>
    <w:rPr>
      <w:rFonts w:ascii="Times New Roman" w:hAnsi="Times New Roman" w:cs="Times New Roman"/>
      <w:lang w:eastAsia="en-GB"/>
    </w:rPr>
  </w:style>
  <w:style w:type="character" w:styleId="Strong">
    <w:name w:val="Strong"/>
    <w:basedOn w:val="DefaultParagraphFont"/>
    <w:uiPriority w:val="22"/>
    <w:qFormat/>
    <w:rsid w:val="00242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9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can.org.uk/factsheets/" TargetMode="External"/><Relationship Id="rId3" Type="http://schemas.openxmlformats.org/officeDocument/2006/relationships/settings" Target="settings.xml"/><Relationship Id="rId7" Type="http://schemas.openxmlformats.org/officeDocument/2006/relationships/hyperlink" Target="mailto:Amber.vanBoost@island-advic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llis@island-advice.org.uk" TargetMode="External"/><Relationship Id="rId11" Type="http://schemas.openxmlformats.org/officeDocument/2006/relationships/fontTable" Target="fontTable.xml"/><Relationship Id="rId5" Type="http://schemas.openxmlformats.org/officeDocument/2006/relationships/hyperlink" Target="http://www.thcan.org.uk" TargetMode="External"/><Relationship Id="rId10" Type="http://schemas.openxmlformats.org/officeDocument/2006/relationships/hyperlink" Target="https://taxaid.us14.list-manage.com/track/click?u=c83a91c42984d9497adc9bc4f&amp;id=51c7126acf&amp;e=e21f9f1de3" TargetMode="External"/><Relationship Id="rId4" Type="http://schemas.openxmlformats.org/officeDocument/2006/relationships/webSettings" Target="webSettings.xml"/><Relationship Id="rId9" Type="http://schemas.openxmlformats.org/officeDocument/2006/relationships/hyperlink" Target="mailto:taxcharities@taxv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1</cp:revision>
  <dcterms:created xsi:type="dcterms:W3CDTF">2019-05-30T10:25:00Z</dcterms:created>
  <dcterms:modified xsi:type="dcterms:W3CDTF">2019-05-30T10:27:00Z</dcterms:modified>
</cp:coreProperties>
</file>