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D9" w:rsidRDefault="00D94AD9">
      <w:pPr>
        <w:spacing w:line="200" w:lineRule="exact"/>
        <w:rPr>
          <w:sz w:val="20"/>
          <w:szCs w:val="20"/>
        </w:rPr>
      </w:pPr>
      <w:bookmarkStart w:id="0" w:name="_GoBack"/>
      <w:bookmarkEnd w:id="0"/>
    </w:p>
    <w:p w:rsidR="001F592E" w:rsidRDefault="001F592E">
      <w:pPr>
        <w:spacing w:line="200" w:lineRule="exact"/>
        <w:rPr>
          <w:sz w:val="20"/>
          <w:szCs w:val="20"/>
        </w:rPr>
      </w:pPr>
    </w:p>
    <w:p w:rsidR="00D94AD9" w:rsidRDefault="00B353EB">
      <w:pPr>
        <w:spacing w:line="200" w:lineRule="exact"/>
        <w:rPr>
          <w:sz w:val="20"/>
          <w:szCs w:val="20"/>
        </w:rPr>
      </w:pPr>
      <w:r>
        <w:rPr>
          <w:noProof/>
          <w:sz w:val="20"/>
          <w:szCs w:val="20"/>
          <w:lang w:val="en-GB" w:eastAsia="en-GB"/>
        </w:rPr>
        <mc:AlternateContent>
          <mc:Choice Requires="wpg">
            <w:drawing>
              <wp:anchor distT="0" distB="0" distL="114300" distR="114300" simplePos="0" relativeHeight="251658240" behindDoc="1" locked="0" layoutInCell="1" allowOverlap="1">
                <wp:simplePos x="0" y="0"/>
                <wp:positionH relativeFrom="page">
                  <wp:posOffset>558800</wp:posOffset>
                </wp:positionH>
                <wp:positionV relativeFrom="page">
                  <wp:posOffset>1535430</wp:posOffset>
                </wp:positionV>
                <wp:extent cx="6500495" cy="1776095"/>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1776095"/>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76487" id="Group 16" o:spid="_x0000_s1026" style="position:absolute;margin-left:44pt;margin-top:120.9pt;width:511.85pt;height:139.85pt;z-index:-251658240;mso-position-horizontal-relative:page;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">
                <v:shape id="Freeform 17" o:spid="_x0000_s1027" style="position:absolute;left:881;top:2419;width:10237;height:2797;visibility:visible;mso-wrap-style:square;v-text-anchor:top" coordsize="10237,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fMcIA&#10;AADbAAAADwAAAGRycy9kb3ducmV2LnhtbERPTWvCQBC9F/oflhG8lLppDkVS1xALRS8WjILXMTsm&#10;MdnZkF1N/PeuUOhtHu9zFuloWnGj3tWWFXzMIhDEhdU1lwoO+5/3OQjnkTW2lknBnRyky9eXBSba&#10;DryjW+5LEULYJaig8r5LpHRFRQbdzHbEgTvb3qAPsC+l7nEI4aaVcRR9SoM1h4YKO/quqGjyq1Fw&#10;OtNqyOYX2Ui/3fxe8/XbPT8qNZ2M2RcIT6P/F/+5NzrMj+H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t8xwgAAANsAAAAPAAAAAAAAAAAAAAAAAJgCAABkcnMvZG93&#10;bnJldi54bWxQSwUGAAAAAAQABAD1AAAAhwMAAAAA&#10;" path="m,2797r10237,l10237,,,,,2797xe" fillcolor="#574186" stroked="f">
                  <v:path arrowok="t" o:connecttype="custom" o:connectlocs="0,5216;10237,5216;10237,2419;0,2419;0,5216" o:connectangles="0,0,0,0,0"/>
                </v:shape>
                <w10:wrap anchorx="page" anchory="page"/>
              </v:group>
            </w:pict>
          </mc:Fallback>
        </mc:AlternateContent>
      </w:r>
    </w:p>
    <w:p w:rsidR="001F592E" w:rsidRDefault="001F592E">
      <w:pPr>
        <w:spacing w:line="200" w:lineRule="exact"/>
        <w:rPr>
          <w:sz w:val="20"/>
          <w:szCs w:val="20"/>
        </w:rPr>
      </w:pPr>
    </w:p>
    <w:p w:rsidR="001F592E" w:rsidRDefault="001F592E">
      <w:pPr>
        <w:spacing w:line="200" w:lineRule="exact"/>
        <w:rPr>
          <w:sz w:val="20"/>
          <w:szCs w:val="20"/>
        </w:rPr>
      </w:pPr>
    </w:p>
    <w:p w:rsidR="00B353EB" w:rsidRDefault="00B353EB">
      <w:pPr>
        <w:spacing w:line="200" w:lineRule="exact"/>
        <w:rPr>
          <w:sz w:val="20"/>
          <w:szCs w:val="20"/>
        </w:rPr>
      </w:pPr>
    </w:p>
    <w:p w:rsidR="00B353EB" w:rsidRDefault="00B353EB">
      <w:pPr>
        <w:spacing w:line="200" w:lineRule="exact"/>
        <w:rPr>
          <w:sz w:val="20"/>
          <w:szCs w:val="20"/>
        </w:rPr>
      </w:pPr>
    </w:p>
    <w:p w:rsidR="002B049E" w:rsidRDefault="002B049E" w:rsidP="002B049E">
      <w:pPr>
        <w:pStyle w:val="Default"/>
        <w:ind w:firstLine="284"/>
        <w:rPr>
          <w:sz w:val="23"/>
          <w:szCs w:val="23"/>
        </w:rPr>
      </w:pPr>
      <w:r>
        <w:rPr>
          <w:rFonts w:ascii="Calibri"/>
          <w:b/>
          <w:color w:val="FFFFFF"/>
          <w:spacing w:val="9"/>
          <w:sz w:val="60"/>
        </w:rPr>
        <w:t xml:space="preserve">Savings &amp; Capital </w:t>
      </w:r>
      <w:r>
        <w:rPr>
          <w:rFonts w:ascii="Calibri"/>
          <w:b/>
          <w:color w:val="FFFFFF"/>
          <w:spacing w:val="9"/>
          <w:sz w:val="60"/>
        </w:rPr>
        <w:t>–</w:t>
      </w:r>
      <w:r>
        <w:rPr>
          <w:rFonts w:ascii="Calibri"/>
          <w:b/>
          <w:color w:val="FFFFFF"/>
          <w:spacing w:val="9"/>
          <w:sz w:val="60"/>
        </w:rPr>
        <w:t xml:space="preserve"> Effect on Benefits</w:t>
      </w:r>
      <w:r>
        <w:rPr>
          <w:b/>
          <w:bCs/>
          <w:sz w:val="23"/>
          <w:szCs w:val="23"/>
        </w:rPr>
        <w:t xml:space="preserve"> </w:t>
      </w:r>
    </w:p>
    <w:p w:rsidR="00D94AD9" w:rsidRDefault="00D94AD9">
      <w:pPr>
        <w:spacing w:line="700" w:lineRule="exact"/>
        <w:ind w:left="627"/>
        <w:rPr>
          <w:rFonts w:ascii="Calibri" w:eastAsia="Calibri" w:hAnsi="Calibri" w:cs="Calibri"/>
          <w:sz w:val="60"/>
          <w:szCs w:val="60"/>
        </w:rPr>
      </w:pPr>
    </w:p>
    <w:p w:rsidR="00D94AD9" w:rsidRDefault="00D94AD9">
      <w:pPr>
        <w:spacing w:before="4" w:line="130" w:lineRule="exact"/>
        <w:rPr>
          <w:sz w:val="13"/>
          <w:szCs w:val="13"/>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B353EB" w:rsidRDefault="00B353EB" w:rsidP="002B049E">
      <w:pPr>
        <w:pStyle w:val="Default"/>
        <w:rPr>
          <w:b/>
          <w:bCs/>
          <w:sz w:val="23"/>
          <w:szCs w:val="23"/>
        </w:rPr>
      </w:pPr>
    </w:p>
    <w:p w:rsidR="002B049E" w:rsidRDefault="002B049E" w:rsidP="002B049E">
      <w:pPr>
        <w:pStyle w:val="Default"/>
        <w:rPr>
          <w:b/>
          <w:bCs/>
          <w:sz w:val="23"/>
          <w:szCs w:val="23"/>
        </w:rPr>
      </w:pPr>
      <w:r>
        <w:rPr>
          <w:b/>
          <w:bCs/>
          <w:sz w:val="23"/>
          <w:szCs w:val="23"/>
        </w:rPr>
        <w:t xml:space="preserve">The rules about the treatment of capital and savings for means-tested benefits can be complicated; this is a brief guide to the rules, and should be enough for you to advise most clients in Tower Hamlets. If your client has more complex financial circumstances you should consider referring them to a specialist benefits adviser. In any case, claimants will have to provide detailed evidence of all savings and property to the benefits agency, and where they claim to hold the money on behalf of someone else who is the true owner (trusts) they will need to show proof that that is the case. </w:t>
      </w:r>
    </w:p>
    <w:p w:rsidR="002B049E" w:rsidRDefault="002B049E" w:rsidP="002B049E">
      <w:pPr>
        <w:pStyle w:val="Default"/>
        <w:rPr>
          <w:sz w:val="23"/>
          <w:szCs w:val="23"/>
        </w:rPr>
      </w:pPr>
    </w:p>
    <w:p w:rsidR="002B049E" w:rsidRPr="00F61D64" w:rsidRDefault="002B049E" w:rsidP="002B049E">
      <w:pPr>
        <w:pStyle w:val="Default"/>
        <w:rPr>
          <w:sz w:val="23"/>
          <w:szCs w:val="23"/>
          <w:u w:val="single"/>
        </w:rPr>
      </w:pPr>
      <w:r w:rsidRPr="00F61D64">
        <w:rPr>
          <w:sz w:val="23"/>
          <w:szCs w:val="23"/>
          <w:u w:val="single"/>
        </w:rPr>
        <w:t>What is capital</w:t>
      </w:r>
    </w:p>
    <w:p w:rsidR="002B049E" w:rsidRDefault="002B049E" w:rsidP="002B049E">
      <w:pPr>
        <w:pStyle w:val="Default"/>
        <w:rPr>
          <w:sz w:val="23"/>
          <w:szCs w:val="23"/>
        </w:rPr>
      </w:pPr>
      <w:r>
        <w:rPr>
          <w:sz w:val="23"/>
          <w:szCs w:val="23"/>
        </w:rPr>
        <w:t xml:space="preserve"> </w:t>
      </w:r>
    </w:p>
    <w:p w:rsidR="002B049E" w:rsidRDefault="002B049E" w:rsidP="002B049E">
      <w:pPr>
        <w:pStyle w:val="Default"/>
        <w:numPr>
          <w:ilvl w:val="0"/>
          <w:numId w:val="4"/>
        </w:numPr>
        <w:spacing w:after="56"/>
        <w:ind w:left="709"/>
        <w:rPr>
          <w:sz w:val="23"/>
          <w:szCs w:val="23"/>
        </w:rPr>
      </w:pPr>
      <w:r>
        <w:rPr>
          <w:sz w:val="23"/>
          <w:szCs w:val="23"/>
        </w:rPr>
        <w:t xml:space="preserve">Property/land – the person’s own home that they live in is disregarded as capital. In some situations even a property not lived in could be exempt </w:t>
      </w:r>
    </w:p>
    <w:p w:rsidR="002B049E" w:rsidRDefault="002B049E" w:rsidP="002B049E">
      <w:pPr>
        <w:pStyle w:val="Default"/>
        <w:numPr>
          <w:ilvl w:val="0"/>
          <w:numId w:val="4"/>
        </w:numPr>
        <w:spacing w:after="56"/>
        <w:ind w:left="709"/>
        <w:rPr>
          <w:sz w:val="23"/>
          <w:szCs w:val="23"/>
        </w:rPr>
      </w:pPr>
      <w:r>
        <w:rPr>
          <w:sz w:val="23"/>
          <w:szCs w:val="23"/>
        </w:rPr>
        <w:t xml:space="preserve">Savings – money in the bank, cash, stocks, shares, bonds etc. </w:t>
      </w:r>
    </w:p>
    <w:p w:rsidR="002B049E" w:rsidRDefault="002B049E" w:rsidP="002B049E">
      <w:pPr>
        <w:pStyle w:val="Default"/>
        <w:numPr>
          <w:ilvl w:val="0"/>
          <w:numId w:val="4"/>
        </w:numPr>
        <w:spacing w:after="56"/>
        <w:ind w:left="709"/>
        <w:rPr>
          <w:sz w:val="23"/>
          <w:szCs w:val="23"/>
        </w:rPr>
      </w:pPr>
      <w:r>
        <w:rPr>
          <w:sz w:val="23"/>
          <w:szCs w:val="23"/>
        </w:rPr>
        <w:t xml:space="preserve">Earnings – once the period for which it was paid has ended, and all associated debts have been deducted </w:t>
      </w:r>
    </w:p>
    <w:p w:rsidR="002B049E" w:rsidRDefault="002B049E" w:rsidP="002B049E">
      <w:pPr>
        <w:pStyle w:val="Default"/>
        <w:numPr>
          <w:ilvl w:val="0"/>
          <w:numId w:val="4"/>
        </w:numPr>
        <w:spacing w:after="56"/>
        <w:ind w:left="709"/>
        <w:rPr>
          <w:sz w:val="23"/>
          <w:szCs w:val="23"/>
        </w:rPr>
      </w:pPr>
      <w:r>
        <w:rPr>
          <w:sz w:val="23"/>
          <w:szCs w:val="23"/>
        </w:rPr>
        <w:t xml:space="preserve">Loans – may be treated as capital or income, except where the money is held on behalf of someone else </w:t>
      </w:r>
    </w:p>
    <w:p w:rsidR="002B049E" w:rsidRDefault="002B049E" w:rsidP="002B049E">
      <w:pPr>
        <w:pStyle w:val="Default"/>
        <w:numPr>
          <w:ilvl w:val="0"/>
          <w:numId w:val="4"/>
        </w:numPr>
        <w:spacing w:after="56"/>
        <w:ind w:left="709"/>
        <w:rPr>
          <w:sz w:val="23"/>
          <w:szCs w:val="23"/>
        </w:rPr>
      </w:pPr>
      <w:r>
        <w:rPr>
          <w:sz w:val="23"/>
          <w:szCs w:val="23"/>
        </w:rPr>
        <w:t xml:space="preserve">Trusts – these belong to the beneficiary of the trust and not necessarily to the person holding the funds </w:t>
      </w:r>
    </w:p>
    <w:p w:rsidR="002B049E" w:rsidRDefault="002B049E" w:rsidP="002B049E">
      <w:pPr>
        <w:pStyle w:val="Default"/>
        <w:numPr>
          <w:ilvl w:val="0"/>
          <w:numId w:val="4"/>
        </w:numPr>
        <w:ind w:left="709"/>
        <w:rPr>
          <w:sz w:val="23"/>
          <w:szCs w:val="23"/>
        </w:rPr>
      </w:pPr>
      <w:r>
        <w:rPr>
          <w:sz w:val="23"/>
          <w:szCs w:val="23"/>
        </w:rPr>
        <w:t xml:space="preserve">Arrears of benefit – generally disregarded for 52 weeks. It is good practice to advise clients about this potential effect on savings limits where they are likely to receive large sums as arrears. </w:t>
      </w:r>
    </w:p>
    <w:p w:rsidR="002B049E" w:rsidRDefault="002B049E" w:rsidP="002B049E">
      <w:pPr>
        <w:pStyle w:val="Default"/>
        <w:rPr>
          <w:sz w:val="23"/>
          <w:szCs w:val="23"/>
        </w:rPr>
      </w:pPr>
    </w:p>
    <w:p w:rsidR="002B049E" w:rsidRPr="00F61D64" w:rsidRDefault="00F61D64" w:rsidP="002B049E">
      <w:pPr>
        <w:pStyle w:val="Default"/>
        <w:rPr>
          <w:sz w:val="23"/>
          <w:szCs w:val="23"/>
          <w:u w:val="single"/>
        </w:rPr>
      </w:pPr>
      <w:r>
        <w:rPr>
          <w:sz w:val="23"/>
          <w:szCs w:val="23"/>
          <w:u w:val="single"/>
        </w:rPr>
        <w:t>Notional capital</w:t>
      </w:r>
    </w:p>
    <w:p w:rsidR="002B049E" w:rsidRDefault="002B049E" w:rsidP="002B049E">
      <w:pPr>
        <w:pStyle w:val="Default"/>
        <w:rPr>
          <w:sz w:val="23"/>
          <w:szCs w:val="23"/>
        </w:rPr>
      </w:pPr>
    </w:p>
    <w:p w:rsidR="001F592E" w:rsidRDefault="002B049E" w:rsidP="001F592E">
      <w:pPr>
        <w:pStyle w:val="Default"/>
        <w:rPr>
          <w:sz w:val="23"/>
          <w:szCs w:val="23"/>
        </w:rPr>
      </w:pPr>
      <w:r>
        <w:rPr>
          <w:sz w:val="23"/>
          <w:szCs w:val="23"/>
        </w:rPr>
        <w:t xml:space="preserve">If a claimant is thought to have deliberately deprived themselves of capital in order to get or keep benefit, they can be treated as if they still had that capital. Over a period of time this ‘notional capital’ will be assumed to have reduced at a rate equal to the amount of benefit that would have been paid had notional capital not been taken into account (the ‘diminishing capital’ rule). </w:t>
      </w:r>
    </w:p>
    <w:p w:rsidR="001F592E" w:rsidRDefault="001F592E" w:rsidP="001F592E">
      <w:pPr>
        <w:pStyle w:val="Default"/>
        <w:rPr>
          <w:sz w:val="23"/>
          <w:szCs w:val="23"/>
        </w:rPr>
      </w:pPr>
    </w:p>
    <w:p w:rsidR="002B049E" w:rsidRPr="00F61D64" w:rsidRDefault="00F61D64" w:rsidP="001F592E">
      <w:pPr>
        <w:pStyle w:val="Default"/>
        <w:rPr>
          <w:sz w:val="23"/>
          <w:szCs w:val="23"/>
          <w:u w:val="single"/>
        </w:rPr>
      </w:pPr>
      <w:r>
        <w:rPr>
          <w:sz w:val="23"/>
          <w:szCs w:val="23"/>
          <w:u w:val="single"/>
        </w:rPr>
        <w:t>Capital that can be disregarded</w:t>
      </w:r>
    </w:p>
    <w:p w:rsidR="002B049E" w:rsidRDefault="002B049E" w:rsidP="002B049E">
      <w:pPr>
        <w:pStyle w:val="Default"/>
        <w:rPr>
          <w:sz w:val="23"/>
          <w:szCs w:val="23"/>
        </w:rPr>
      </w:pPr>
    </w:p>
    <w:p w:rsidR="00F61D64" w:rsidRDefault="002B049E" w:rsidP="002B049E">
      <w:pPr>
        <w:pStyle w:val="Default"/>
        <w:rPr>
          <w:iCs/>
          <w:sz w:val="23"/>
          <w:szCs w:val="23"/>
        </w:rPr>
      </w:pPr>
      <w:r>
        <w:rPr>
          <w:i/>
          <w:iCs/>
          <w:sz w:val="23"/>
          <w:szCs w:val="23"/>
        </w:rPr>
        <w:t>For a more detailed list, see CPAG’s Welfare be</w:t>
      </w:r>
      <w:r w:rsidR="00F61D64">
        <w:rPr>
          <w:i/>
          <w:iCs/>
          <w:sz w:val="23"/>
          <w:szCs w:val="23"/>
        </w:rPr>
        <w:t>nefits and Tax Credits Handbook</w:t>
      </w:r>
    </w:p>
    <w:p w:rsidR="00F61D64" w:rsidRPr="00F61D64" w:rsidRDefault="00F61D64" w:rsidP="002B049E">
      <w:pPr>
        <w:pStyle w:val="Default"/>
        <w:rPr>
          <w:iCs/>
          <w:sz w:val="23"/>
          <w:szCs w:val="23"/>
        </w:rPr>
      </w:pPr>
    </w:p>
    <w:p w:rsidR="002B049E" w:rsidRDefault="002B049E" w:rsidP="00E86DE7">
      <w:pPr>
        <w:pStyle w:val="Default"/>
        <w:numPr>
          <w:ilvl w:val="0"/>
          <w:numId w:val="10"/>
        </w:numPr>
        <w:spacing w:after="42"/>
        <w:rPr>
          <w:sz w:val="23"/>
          <w:szCs w:val="23"/>
        </w:rPr>
      </w:pPr>
      <w:r>
        <w:rPr>
          <w:sz w:val="23"/>
          <w:szCs w:val="23"/>
        </w:rPr>
        <w:t xml:space="preserve">Value of the home in which the person normally lives </w:t>
      </w:r>
    </w:p>
    <w:p w:rsidR="002B049E" w:rsidRDefault="002B049E" w:rsidP="00E86DE7">
      <w:pPr>
        <w:pStyle w:val="Default"/>
        <w:numPr>
          <w:ilvl w:val="0"/>
          <w:numId w:val="10"/>
        </w:numPr>
        <w:spacing w:after="42"/>
        <w:rPr>
          <w:sz w:val="23"/>
          <w:szCs w:val="23"/>
        </w:rPr>
      </w:pPr>
      <w:r>
        <w:rPr>
          <w:sz w:val="23"/>
          <w:szCs w:val="23"/>
        </w:rPr>
        <w:lastRenderedPageBreak/>
        <w:t xml:space="preserve">For a certain period – six months for Universal Credit or 26 weeks for other benefits – the value of a home the person does not actually occupy can be disregarded: </w:t>
      </w:r>
    </w:p>
    <w:p w:rsidR="00F61D64" w:rsidRDefault="002B049E" w:rsidP="00E86DE7">
      <w:pPr>
        <w:pStyle w:val="Default"/>
        <w:numPr>
          <w:ilvl w:val="1"/>
          <w:numId w:val="12"/>
        </w:numPr>
        <w:spacing w:after="42"/>
        <w:rPr>
          <w:sz w:val="23"/>
          <w:szCs w:val="23"/>
        </w:rPr>
      </w:pPr>
      <w:r>
        <w:rPr>
          <w:sz w:val="23"/>
          <w:szCs w:val="23"/>
        </w:rPr>
        <w:t xml:space="preserve">Where the home has been left following a relationship breakdown </w:t>
      </w:r>
    </w:p>
    <w:p w:rsidR="002B049E" w:rsidRDefault="00F61D64" w:rsidP="00E86DE7">
      <w:pPr>
        <w:pStyle w:val="Default"/>
        <w:numPr>
          <w:ilvl w:val="1"/>
          <w:numId w:val="12"/>
        </w:numPr>
        <w:spacing w:after="42"/>
        <w:rPr>
          <w:sz w:val="23"/>
          <w:szCs w:val="23"/>
        </w:rPr>
      </w:pPr>
      <w:r>
        <w:rPr>
          <w:sz w:val="23"/>
          <w:szCs w:val="23"/>
        </w:rPr>
        <w:t xml:space="preserve">Where legal advice or proceedings are being taken in order to occupy a property </w:t>
      </w:r>
      <w:r w:rsidRPr="002B049E">
        <w:rPr>
          <w:sz w:val="23"/>
          <w:szCs w:val="23"/>
        </w:rPr>
        <w:t>Where reasonable steps are being taken to dispose of a property</w:t>
      </w:r>
    </w:p>
    <w:p w:rsidR="002B049E" w:rsidRDefault="002B049E" w:rsidP="00E86DE7">
      <w:pPr>
        <w:pStyle w:val="Default"/>
        <w:numPr>
          <w:ilvl w:val="1"/>
          <w:numId w:val="12"/>
        </w:numPr>
        <w:spacing w:after="56"/>
        <w:rPr>
          <w:sz w:val="23"/>
          <w:szCs w:val="23"/>
        </w:rPr>
      </w:pPr>
      <w:r>
        <w:rPr>
          <w:sz w:val="23"/>
          <w:szCs w:val="23"/>
        </w:rPr>
        <w:t xml:space="preserve">Where essential repairs or alterations are being carried out in order to occupy a property </w:t>
      </w:r>
    </w:p>
    <w:p w:rsidR="002B049E" w:rsidRDefault="002B049E" w:rsidP="00E86DE7">
      <w:pPr>
        <w:pStyle w:val="Default"/>
        <w:numPr>
          <w:ilvl w:val="1"/>
          <w:numId w:val="12"/>
        </w:numPr>
        <w:spacing w:after="56"/>
        <w:rPr>
          <w:sz w:val="23"/>
          <w:szCs w:val="23"/>
        </w:rPr>
      </w:pPr>
      <w:r>
        <w:rPr>
          <w:sz w:val="23"/>
          <w:szCs w:val="23"/>
        </w:rPr>
        <w:t xml:space="preserve">Where a property has been acquired but the person has not yet moved in </w:t>
      </w:r>
    </w:p>
    <w:p w:rsidR="002B049E" w:rsidRDefault="002B049E" w:rsidP="00E86DE7">
      <w:pPr>
        <w:pStyle w:val="Default"/>
        <w:numPr>
          <w:ilvl w:val="1"/>
          <w:numId w:val="12"/>
        </w:numPr>
        <w:spacing w:after="56"/>
        <w:rPr>
          <w:sz w:val="23"/>
          <w:szCs w:val="23"/>
        </w:rPr>
      </w:pPr>
      <w:r>
        <w:rPr>
          <w:sz w:val="23"/>
          <w:szCs w:val="23"/>
        </w:rPr>
        <w:t xml:space="preserve">Where a property has been sold and it is intended to use the proceeds to buy another </w:t>
      </w:r>
    </w:p>
    <w:p w:rsidR="002B049E" w:rsidRDefault="002B049E" w:rsidP="00E86DE7">
      <w:pPr>
        <w:pStyle w:val="Default"/>
        <w:numPr>
          <w:ilvl w:val="1"/>
          <w:numId w:val="12"/>
        </w:numPr>
        <w:spacing w:after="56"/>
        <w:rPr>
          <w:sz w:val="23"/>
          <w:szCs w:val="23"/>
        </w:rPr>
      </w:pPr>
      <w:r>
        <w:rPr>
          <w:sz w:val="23"/>
          <w:szCs w:val="23"/>
        </w:rPr>
        <w:t xml:space="preserve">Where the home has been damaged or lost </w:t>
      </w:r>
    </w:p>
    <w:p w:rsidR="002B049E" w:rsidRDefault="002B049E" w:rsidP="00E86DE7">
      <w:pPr>
        <w:pStyle w:val="Default"/>
        <w:numPr>
          <w:ilvl w:val="1"/>
          <w:numId w:val="10"/>
        </w:numPr>
        <w:spacing w:after="56"/>
        <w:rPr>
          <w:sz w:val="23"/>
          <w:szCs w:val="23"/>
        </w:rPr>
      </w:pPr>
      <w:r>
        <w:rPr>
          <w:sz w:val="23"/>
          <w:szCs w:val="23"/>
        </w:rPr>
        <w:t xml:space="preserve">The value of money given or borrowed in order to carry out essential repairs or alterations can be disregarded in the same way </w:t>
      </w:r>
    </w:p>
    <w:p w:rsidR="002B049E" w:rsidRDefault="002B049E" w:rsidP="00E86DE7">
      <w:pPr>
        <w:pStyle w:val="Default"/>
        <w:numPr>
          <w:ilvl w:val="0"/>
          <w:numId w:val="10"/>
        </w:numPr>
        <w:spacing w:after="56"/>
        <w:rPr>
          <w:sz w:val="23"/>
          <w:szCs w:val="23"/>
        </w:rPr>
      </w:pPr>
      <w:r>
        <w:rPr>
          <w:sz w:val="23"/>
          <w:szCs w:val="23"/>
        </w:rPr>
        <w:t xml:space="preserve">The home of a former partner or relative where the property is occupied by: </w:t>
      </w:r>
    </w:p>
    <w:p w:rsidR="002B049E" w:rsidRDefault="002B049E" w:rsidP="00E86DE7">
      <w:pPr>
        <w:pStyle w:val="Default"/>
        <w:numPr>
          <w:ilvl w:val="1"/>
          <w:numId w:val="10"/>
        </w:numPr>
        <w:spacing w:after="56"/>
        <w:rPr>
          <w:sz w:val="23"/>
          <w:szCs w:val="23"/>
        </w:rPr>
      </w:pPr>
      <w:r>
        <w:rPr>
          <w:sz w:val="23"/>
          <w:szCs w:val="23"/>
        </w:rPr>
        <w:t xml:space="preserve">Someone over the qualifying age for Pension Credit or who has limited capability for work or is incapacitated, and who is a relative of the claimant, their partner or their dependent child, the claimant’s spouse, cohabitee or civil partner who is treated as living in the same household as the claimant </w:t>
      </w:r>
    </w:p>
    <w:p w:rsidR="002B049E" w:rsidRDefault="002B049E" w:rsidP="00E86DE7">
      <w:pPr>
        <w:pStyle w:val="Default"/>
        <w:numPr>
          <w:ilvl w:val="1"/>
          <w:numId w:val="10"/>
        </w:numPr>
        <w:spacing w:after="56"/>
        <w:rPr>
          <w:sz w:val="23"/>
          <w:szCs w:val="23"/>
        </w:rPr>
      </w:pPr>
      <w:r>
        <w:rPr>
          <w:sz w:val="23"/>
          <w:szCs w:val="23"/>
        </w:rPr>
        <w:t xml:space="preserve">For Universal Credit, a close relative who is over Pension Credit age or has limited capability for work </w:t>
      </w:r>
    </w:p>
    <w:p w:rsidR="002B049E" w:rsidRDefault="002B049E" w:rsidP="00E86DE7">
      <w:pPr>
        <w:pStyle w:val="Default"/>
        <w:numPr>
          <w:ilvl w:val="1"/>
          <w:numId w:val="10"/>
        </w:numPr>
        <w:spacing w:after="56"/>
        <w:rPr>
          <w:sz w:val="23"/>
          <w:szCs w:val="23"/>
        </w:rPr>
      </w:pPr>
      <w:r>
        <w:rPr>
          <w:sz w:val="23"/>
          <w:szCs w:val="23"/>
        </w:rPr>
        <w:t xml:space="preserve">A former partner from whom the claimant is not estranged, but is living apart (e.g. in a care home) </w:t>
      </w:r>
    </w:p>
    <w:p w:rsidR="002B049E" w:rsidRDefault="002B049E" w:rsidP="00E86DE7">
      <w:pPr>
        <w:pStyle w:val="Default"/>
        <w:numPr>
          <w:ilvl w:val="1"/>
          <w:numId w:val="10"/>
        </w:numPr>
        <w:spacing w:after="56"/>
        <w:rPr>
          <w:sz w:val="23"/>
          <w:szCs w:val="23"/>
        </w:rPr>
      </w:pPr>
      <w:r>
        <w:rPr>
          <w:sz w:val="23"/>
          <w:szCs w:val="23"/>
        </w:rPr>
        <w:t xml:space="preserve">An estranged former partner who is a lone parent </w:t>
      </w:r>
    </w:p>
    <w:p w:rsidR="002B049E" w:rsidRDefault="002B049E" w:rsidP="00E86DE7">
      <w:pPr>
        <w:pStyle w:val="Default"/>
        <w:numPr>
          <w:ilvl w:val="1"/>
          <w:numId w:val="10"/>
        </w:numPr>
        <w:spacing w:after="56"/>
        <w:rPr>
          <w:sz w:val="23"/>
          <w:szCs w:val="23"/>
        </w:rPr>
      </w:pPr>
      <w:r>
        <w:rPr>
          <w:sz w:val="23"/>
          <w:szCs w:val="23"/>
        </w:rPr>
        <w:t xml:space="preserve">For 26 weeks only (six months for UC), an estranged partner who is not a lone parent </w:t>
      </w:r>
    </w:p>
    <w:p w:rsidR="002B049E" w:rsidRDefault="002B049E" w:rsidP="00E86DE7">
      <w:pPr>
        <w:pStyle w:val="Default"/>
        <w:numPr>
          <w:ilvl w:val="0"/>
          <w:numId w:val="10"/>
        </w:numPr>
        <w:spacing w:after="56"/>
        <w:rPr>
          <w:sz w:val="23"/>
          <w:szCs w:val="23"/>
        </w:rPr>
      </w:pPr>
      <w:r>
        <w:rPr>
          <w:sz w:val="23"/>
          <w:szCs w:val="23"/>
        </w:rPr>
        <w:t xml:space="preserve">Arrears of benefits and tax credits are normally ignored for 52 weeks (12 months for Universal Credit) or longer in some cases of official error. </w:t>
      </w:r>
    </w:p>
    <w:p w:rsidR="002B049E" w:rsidRDefault="002B049E" w:rsidP="00E86DE7">
      <w:pPr>
        <w:pStyle w:val="Default"/>
        <w:numPr>
          <w:ilvl w:val="0"/>
          <w:numId w:val="10"/>
        </w:numPr>
        <w:spacing w:after="56"/>
        <w:rPr>
          <w:sz w:val="23"/>
          <w:szCs w:val="23"/>
        </w:rPr>
      </w:pPr>
      <w:r>
        <w:rPr>
          <w:sz w:val="23"/>
          <w:szCs w:val="23"/>
        </w:rPr>
        <w:t xml:space="preserve">Payments in kind from a charity </w:t>
      </w:r>
    </w:p>
    <w:p w:rsidR="002B049E" w:rsidRDefault="002B049E" w:rsidP="00E86DE7">
      <w:pPr>
        <w:pStyle w:val="Default"/>
        <w:numPr>
          <w:ilvl w:val="0"/>
          <w:numId w:val="10"/>
        </w:numPr>
        <w:spacing w:after="56"/>
        <w:rPr>
          <w:sz w:val="23"/>
          <w:szCs w:val="23"/>
        </w:rPr>
      </w:pPr>
      <w:r>
        <w:rPr>
          <w:sz w:val="23"/>
          <w:szCs w:val="23"/>
        </w:rPr>
        <w:t xml:space="preserve">Personal injury payments for 52 weeks – unless the payment is held in trust when it can be ignored indefinitely </w:t>
      </w:r>
    </w:p>
    <w:p w:rsidR="002B049E" w:rsidRDefault="002B049E" w:rsidP="00E86DE7">
      <w:pPr>
        <w:pStyle w:val="Default"/>
        <w:numPr>
          <w:ilvl w:val="0"/>
          <w:numId w:val="10"/>
        </w:numPr>
        <w:spacing w:after="56"/>
        <w:rPr>
          <w:sz w:val="23"/>
          <w:szCs w:val="23"/>
        </w:rPr>
      </w:pPr>
      <w:r>
        <w:rPr>
          <w:sz w:val="23"/>
          <w:szCs w:val="23"/>
        </w:rPr>
        <w:t xml:space="preserve">Some special compensation schemes </w:t>
      </w:r>
    </w:p>
    <w:p w:rsidR="002B049E" w:rsidRDefault="002B049E" w:rsidP="00E86DE7">
      <w:pPr>
        <w:pStyle w:val="Default"/>
        <w:numPr>
          <w:ilvl w:val="0"/>
          <w:numId w:val="10"/>
        </w:numPr>
        <w:spacing w:after="56"/>
        <w:rPr>
          <w:sz w:val="23"/>
          <w:szCs w:val="23"/>
        </w:rPr>
      </w:pPr>
      <w:r>
        <w:rPr>
          <w:sz w:val="23"/>
          <w:szCs w:val="23"/>
        </w:rPr>
        <w:t xml:space="preserve">Personal possessions </w:t>
      </w:r>
    </w:p>
    <w:p w:rsidR="002B049E" w:rsidRDefault="002B049E" w:rsidP="00E86DE7">
      <w:pPr>
        <w:pStyle w:val="Default"/>
        <w:numPr>
          <w:ilvl w:val="0"/>
          <w:numId w:val="10"/>
        </w:numPr>
        <w:spacing w:after="56"/>
        <w:rPr>
          <w:sz w:val="23"/>
          <w:szCs w:val="23"/>
        </w:rPr>
      </w:pPr>
      <w:r>
        <w:rPr>
          <w:sz w:val="23"/>
          <w:szCs w:val="23"/>
        </w:rPr>
        <w:t xml:space="preserve">Business assets owned by a self-employed person provided they are still working in the business </w:t>
      </w:r>
    </w:p>
    <w:p w:rsidR="002B049E" w:rsidRDefault="002B049E" w:rsidP="00E86DE7">
      <w:pPr>
        <w:pStyle w:val="Default"/>
        <w:numPr>
          <w:ilvl w:val="0"/>
          <w:numId w:val="10"/>
        </w:numPr>
        <w:spacing w:after="56"/>
        <w:rPr>
          <w:sz w:val="23"/>
          <w:szCs w:val="23"/>
        </w:rPr>
      </w:pPr>
      <w:r>
        <w:rPr>
          <w:sz w:val="23"/>
          <w:szCs w:val="23"/>
        </w:rPr>
        <w:t xml:space="preserve">Personal pension schemes, insurance policies, annuity surrender schemes </w:t>
      </w:r>
    </w:p>
    <w:p w:rsidR="002B049E" w:rsidRDefault="002B049E" w:rsidP="00E86DE7">
      <w:pPr>
        <w:pStyle w:val="Default"/>
        <w:numPr>
          <w:ilvl w:val="0"/>
          <w:numId w:val="10"/>
        </w:numPr>
        <w:rPr>
          <w:sz w:val="23"/>
          <w:szCs w:val="23"/>
        </w:rPr>
      </w:pPr>
      <w:r>
        <w:rPr>
          <w:sz w:val="23"/>
          <w:szCs w:val="23"/>
        </w:rPr>
        <w:t xml:space="preserve">Some social services/community care payments </w:t>
      </w:r>
    </w:p>
    <w:p w:rsidR="002B049E" w:rsidRDefault="002B049E" w:rsidP="002B049E">
      <w:pPr>
        <w:pStyle w:val="Default"/>
        <w:rPr>
          <w:sz w:val="23"/>
          <w:szCs w:val="23"/>
        </w:rPr>
      </w:pPr>
    </w:p>
    <w:p w:rsidR="002B049E" w:rsidRDefault="002B049E" w:rsidP="002B049E">
      <w:pPr>
        <w:pStyle w:val="Default"/>
        <w:rPr>
          <w:sz w:val="23"/>
          <w:szCs w:val="23"/>
          <w:u w:val="single"/>
        </w:rPr>
      </w:pPr>
      <w:r w:rsidRPr="00E86DE7">
        <w:rPr>
          <w:sz w:val="23"/>
          <w:szCs w:val="23"/>
          <w:u w:val="single"/>
        </w:rPr>
        <w:t>Claimants under pension credit age</w:t>
      </w:r>
    </w:p>
    <w:p w:rsidR="00E86DE7" w:rsidRPr="00E86DE7" w:rsidRDefault="00E86DE7" w:rsidP="002B049E">
      <w:pPr>
        <w:pStyle w:val="Default"/>
        <w:rPr>
          <w:sz w:val="23"/>
          <w:szCs w:val="23"/>
          <w:u w:val="single"/>
        </w:rPr>
      </w:pPr>
    </w:p>
    <w:p w:rsidR="002B049E" w:rsidRDefault="002B049E" w:rsidP="00E86DE7">
      <w:pPr>
        <w:pStyle w:val="Default"/>
        <w:numPr>
          <w:ilvl w:val="0"/>
          <w:numId w:val="13"/>
        </w:numPr>
        <w:spacing w:after="56"/>
        <w:ind w:left="709"/>
        <w:rPr>
          <w:sz w:val="23"/>
          <w:szCs w:val="23"/>
        </w:rPr>
      </w:pPr>
      <w:r>
        <w:rPr>
          <w:sz w:val="23"/>
          <w:szCs w:val="23"/>
        </w:rPr>
        <w:t xml:space="preserve">Where a person has over £16000 of capital or savings they will not be entitled to any means-tested benefits (i.e. Universal Credit, Income Support, income-based JSA, income-based ESA, Housing Benefit </w:t>
      </w:r>
    </w:p>
    <w:p w:rsidR="002B049E" w:rsidRDefault="002B049E" w:rsidP="00E86DE7">
      <w:pPr>
        <w:pStyle w:val="Default"/>
        <w:numPr>
          <w:ilvl w:val="0"/>
          <w:numId w:val="13"/>
        </w:numPr>
        <w:spacing w:after="56"/>
        <w:ind w:left="709"/>
        <w:rPr>
          <w:sz w:val="23"/>
          <w:szCs w:val="23"/>
        </w:rPr>
      </w:pPr>
      <w:r>
        <w:rPr>
          <w:sz w:val="23"/>
          <w:szCs w:val="23"/>
        </w:rPr>
        <w:t xml:space="preserve">Anything under the lower limit of £6000 is disregarded, unless the person is in a care home where the lower limit is £10000 except for Universal Credit. </w:t>
      </w:r>
    </w:p>
    <w:p w:rsidR="002B049E" w:rsidRDefault="002B049E" w:rsidP="00E86DE7">
      <w:pPr>
        <w:pStyle w:val="Default"/>
        <w:numPr>
          <w:ilvl w:val="0"/>
          <w:numId w:val="13"/>
        </w:numPr>
        <w:spacing w:after="56"/>
        <w:ind w:left="709"/>
        <w:rPr>
          <w:sz w:val="23"/>
          <w:szCs w:val="23"/>
        </w:rPr>
      </w:pPr>
      <w:r>
        <w:rPr>
          <w:sz w:val="23"/>
          <w:szCs w:val="23"/>
        </w:rPr>
        <w:t xml:space="preserve">A person is assumed to have an income from any capital between the lower and upper limits – for benefits except Universal Credit this is called ‘tariff income’ and is £1 for every £250 of surplus capital; for Universal Credit it is called ‘assumed monthly income’ and is £4.50 per month for every £250. </w:t>
      </w:r>
    </w:p>
    <w:p w:rsidR="002B049E" w:rsidRDefault="002B049E" w:rsidP="00E86DE7">
      <w:pPr>
        <w:pStyle w:val="Default"/>
        <w:numPr>
          <w:ilvl w:val="0"/>
          <w:numId w:val="13"/>
        </w:numPr>
        <w:ind w:left="709"/>
        <w:rPr>
          <w:sz w:val="23"/>
          <w:szCs w:val="23"/>
        </w:rPr>
      </w:pPr>
      <w:r>
        <w:rPr>
          <w:sz w:val="23"/>
          <w:szCs w:val="23"/>
        </w:rPr>
        <w:t xml:space="preserve">Partner’s capital and savings are included, even where the partner is someone subject to immigration control </w:t>
      </w:r>
    </w:p>
    <w:p w:rsidR="002B049E" w:rsidRPr="00E86DE7" w:rsidRDefault="00E86DE7" w:rsidP="00B465B4">
      <w:pPr>
        <w:pStyle w:val="Default"/>
        <w:numPr>
          <w:ilvl w:val="0"/>
          <w:numId w:val="13"/>
        </w:numPr>
        <w:ind w:left="709"/>
        <w:rPr>
          <w:sz w:val="23"/>
          <w:szCs w:val="23"/>
        </w:rPr>
      </w:pPr>
      <w:r w:rsidRPr="00E86DE7">
        <w:rPr>
          <w:sz w:val="23"/>
          <w:szCs w:val="23"/>
        </w:rPr>
        <w:t xml:space="preserve">Children’s capital under £3000 is disregarded except in certain limited circumstances (where amounts of benefit for children are included in the claimant’s applicable amount). Cases </w:t>
      </w:r>
      <w:r w:rsidRPr="00E86DE7">
        <w:rPr>
          <w:sz w:val="23"/>
          <w:szCs w:val="23"/>
        </w:rPr>
        <w:lastRenderedPageBreak/>
        <w:t>involving children’s capital can be complex and it is recommended that you seek advice from a benefits specialist</w:t>
      </w:r>
      <w:r w:rsidR="002B049E" w:rsidRPr="00E86DE7">
        <w:rPr>
          <w:sz w:val="23"/>
          <w:szCs w:val="23"/>
        </w:rPr>
        <w:t xml:space="preserve">. </w:t>
      </w:r>
    </w:p>
    <w:p w:rsidR="002B049E" w:rsidRDefault="002B049E" w:rsidP="002B049E">
      <w:pPr>
        <w:pStyle w:val="Default"/>
        <w:rPr>
          <w:sz w:val="23"/>
          <w:szCs w:val="23"/>
        </w:rPr>
      </w:pPr>
    </w:p>
    <w:p w:rsidR="002B049E" w:rsidRPr="00E86DE7" w:rsidRDefault="002B049E" w:rsidP="002B049E">
      <w:pPr>
        <w:pStyle w:val="Default"/>
        <w:rPr>
          <w:sz w:val="23"/>
          <w:szCs w:val="23"/>
          <w:u w:val="single"/>
        </w:rPr>
      </w:pPr>
      <w:r w:rsidRPr="00E86DE7">
        <w:rPr>
          <w:sz w:val="23"/>
          <w:szCs w:val="23"/>
          <w:u w:val="single"/>
        </w:rPr>
        <w:t>Claimants over pension credit age</w:t>
      </w:r>
    </w:p>
    <w:p w:rsidR="00E86DE7" w:rsidRDefault="00E86DE7" w:rsidP="002B049E">
      <w:pPr>
        <w:pStyle w:val="Default"/>
        <w:rPr>
          <w:sz w:val="23"/>
          <w:szCs w:val="23"/>
        </w:rPr>
      </w:pPr>
    </w:p>
    <w:p w:rsidR="002B049E" w:rsidRDefault="002B049E" w:rsidP="00E86DE7">
      <w:pPr>
        <w:pStyle w:val="Default"/>
        <w:numPr>
          <w:ilvl w:val="0"/>
          <w:numId w:val="14"/>
        </w:numPr>
        <w:spacing w:after="55"/>
        <w:ind w:left="709"/>
        <w:rPr>
          <w:sz w:val="23"/>
          <w:szCs w:val="23"/>
        </w:rPr>
      </w:pPr>
      <w:r>
        <w:rPr>
          <w:sz w:val="23"/>
          <w:szCs w:val="23"/>
        </w:rPr>
        <w:t xml:space="preserve">Capital under £10000 is ignored and there is no upper limit. </w:t>
      </w:r>
    </w:p>
    <w:p w:rsidR="002B049E" w:rsidRDefault="002B049E" w:rsidP="00E86DE7">
      <w:pPr>
        <w:pStyle w:val="Default"/>
        <w:numPr>
          <w:ilvl w:val="0"/>
          <w:numId w:val="14"/>
        </w:numPr>
        <w:spacing w:after="55"/>
        <w:ind w:left="709"/>
        <w:rPr>
          <w:sz w:val="23"/>
          <w:szCs w:val="23"/>
        </w:rPr>
      </w:pPr>
      <w:r>
        <w:rPr>
          <w:sz w:val="23"/>
          <w:szCs w:val="23"/>
        </w:rPr>
        <w:t xml:space="preserve">Actual income from some types of capital (e.g. trusts) is treated as income, and this capital is ignored when working out the amount of ‘deemed income’. </w:t>
      </w:r>
    </w:p>
    <w:p w:rsidR="002B049E" w:rsidRDefault="002B049E" w:rsidP="00E86DE7">
      <w:pPr>
        <w:pStyle w:val="Default"/>
        <w:numPr>
          <w:ilvl w:val="0"/>
          <w:numId w:val="14"/>
        </w:numPr>
        <w:spacing w:after="55"/>
        <w:ind w:left="709"/>
        <w:rPr>
          <w:sz w:val="23"/>
          <w:szCs w:val="23"/>
        </w:rPr>
      </w:pPr>
      <w:r>
        <w:rPr>
          <w:sz w:val="23"/>
          <w:szCs w:val="23"/>
        </w:rPr>
        <w:t xml:space="preserve">‘Deemed income’ is income the person is assumed to be receiving from capital and is £1 for every £500 above £10000. </w:t>
      </w:r>
    </w:p>
    <w:p w:rsidR="002B049E" w:rsidRDefault="002B049E" w:rsidP="00E86DE7">
      <w:pPr>
        <w:pStyle w:val="Default"/>
        <w:numPr>
          <w:ilvl w:val="0"/>
          <w:numId w:val="14"/>
        </w:numPr>
        <w:spacing w:after="55"/>
        <w:ind w:left="709"/>
        <w:rPr>
          <w:sz w:val="23"/>
          <w:szCs w:val="23"/>
        </w:rPr>
      </w:pPr>
      <w:r>
        <w:rPr>
          <w:sz w:val="23"/>
          <w:szCs w:val="23"/>
        </w:rPr>
        <w:t xml:space="preserve">For Housing Benefit, the upper limit is £16000, unless the person is receiving PC guarantee credit and therefore </w:t>
      </w:r>
      <w:proofErr w:type="spellStart"/>
      <w:r>
        <w:rPr>
          <w:sz w:val="23"/>
          <w:szCs w:val="23"/>
        </w:rPr>
        <w:t>passported</w:t>
      </w:r>
      <w:proofErr w:type="spellEnd"/>
      <w:r>
        <w:rPr>
          <w:sz w:val="23"/>
          <w:szCs w:val="23"/>
        </w:rPr>
        <w:t xml:space="preserve"> to maximum housing benefit and all of their capital is ignored. Anyone else with over £16000 will not be entitled to HB, and if it is between £10000 and £16000, a ‘deemed income’ of £1 for every £500 will be applied. </w:t>
      </w:r>
    </w:p>
    <w:p w:rsidR="002B049E" w:rsidRDefault="002B049E" w:rsidP="00E86DE7">
      <w:pPr>
        <w:pStyle w:val="Default"/>
        <w:numPr>
          <w:ilvl w:val="0"/>
          <w:numId w:val="14"/>
        </w:numPr>
        <w:ind w:left="709"/>
        <w:rPr>
          <w:sz w:val="23"/>
          <w:szCs w:val="23"/>
        </w:rPr>
      </w:pPr>
      <w:r>
        <w:rPr>
          <w:sz w:val="23"/>
          <w:szCs w:val="23"/>
        </w:rPr>
        <w:t xml:space="preserve">Partner’s capital is counted but not that of any dependent child. </w:t>
      </w:r>
    </w:p>
    <w:p w:rsidR="002B049E" w:rsidRPr="001F592E" w:rsidRDefault="002B049E" w:rsidP="001F592E">
      <w:pPr>
        <w:pStyle w:val="BodyText"/>
        <w:rPr>
          <w:sz w:val="23"/>
          <w:szCs w:val="23"/>
        </w:rPr>
      </w:pPr>
    </w:p>
    <w:p w:rsidR="00D94AD9" w:rsidRPr="001F592E" w:rsidRDefault="002B049E" w:rsidP="001F592E">
      <w:pPr>
        <w:pStyle w:val="BodyText"/>
        <w:rPr>
          <w:sz w:val="23"/>
          <w:szCs w:val="23"/>
        </w:rPr>
      </w:pPr>
      <w:r w:rsidRPr="001F592E">
        <w:rPr>
          <w:sz w:val="23"/>
          <w:szCs w:val="23"/>
        </w:rPr>
        <w:t>In any case where a client disagrees with a decision about capital, for example where they claim that some or all of the capital belongs to someone else, or where a decision has been made that they have ‘notional capital’, consider referring them to a benefits specialist as these cases can be very complex.</w:t>
      </w:r>
    </w:p>
    <w:p w:rsidR="00D94AD9" w:rsidRPr="001F592E" w:rsidRDefault="00D94AD9" w:rsidP="001F592E">
      <w:pPr>
        <w:pStyle w:val="BodyText"/>
        <w:rPr>
          <w:sz w:val="23"/>
          <w:szCs w:val="23"/>
        </w:rPr>
      </w:pPr>
    </w:p>
    <w:p w:rsidR="00D94AD9" w:rsidRPr="001F592E" w:rsidRDefault="00D94AD9" w:rsidP="001F592E">
      <w:pPr>
        <w:pStyle w:val="BodyText"/>
        <w:rPr>
          <w:sz w:val="23"/>
          <w:szCs w:val="23"/>
        </w:rPr>
      </w:pPr>
    </w:p>
    <w:sectPr w:rsidR="00D94AD9" w:rsidRPr="001F592E" w:rsidSect="00B353EB">
      <w:footerReference w:type="even" r:id="rId8"/>
      <w:footerReference w:type="default" r:id="rId9"/>
      <w:headerReference w:type="first" r:id="rId10"/>
      <w:footerReference w:type="first" r:id="rId11"/>
      <w:pgSz w:w="11901" w:h="16840"/>
      <w:pgMar w:top="800" w:right="844" w:bottom="280" w:left="851"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831" w:rsidRDefault="00341831" w:rsidP="00587EDC">
      <w:r>
        <w:separator/>
      </w:r>
    </w:p>
  </w:endnote>
  <w:endnote w:type="continuationSeparator" w:id="0">
    <w:p w:rsidR="00341831" w:rsidRDefault="00341831"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61695D" w:rsidP="00D9110E">
    <w:pPr>
      <w:pStyle w:val="Footer"/>
      <w:framePr w:wrap="around" w:vAnchor="text" w:hAnchor="margin" w:xAlign="right" w:y="1"/>
      <w:rPr>
        <w:rStyle w:val="PageNumber"/>
      </w:rPr>
    </w:pPr>
    <w:r>
      <w:rPr>
        <w:rStyle w:val="PageNumber"/>
      </w:rPr>
      <w:fldChar w:fldCharType="begin"/>
    </w:r>
    <w:r w:rsidR="00D9110E">
      <w:rPr>
        <w:rStyle w:val="PageNumber"/>
      </w:rPr>
      <w:instrText xml:space="preserve">PAGE  </w:instrText>
    </w:r>
    <w:r>
      <w:rPr>
        <w:rStyle w:val="PageNumber"/>
      </w:rPr>
      <w:fldChar w:fldCharType="end"/>
    </w:r>
  </w:p>
  <w:p w:rsidR="00D9110E" w:rsidRDefault="00D9110E" w:rsidP="004C3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B353EB" w:rsidP="004C3CA2">
    <w:pPr>
      <w:spacing w:line="14" w:lineRule="auto"/>
      <w:ind w:right="360"/>
      <w:rPr>
        <w:sz w:val="20"/>
        <w:szCs w:val="20"/>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459740</wp:posOffset>
              </wp:positionH>
              <wp:positionV relativeFrom="page">
                <wp:posOffset>10109200</wp:posOffset>
              </wp:positionV>
              <wp:extent cx="5048885" cy="228600"/>
              <wp:effectExtent l="0" t="0" r="18415"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2286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AD7E46" w:rsidRDefault="001F592E" w:rsidP="00AD7E46">
                          <w:pPr>
                            <w:pStyle w:val="BodyText"/>
                            <w:spacing w:line="240" w:lineRule="exact"/>
                            <w:ind w:left="20"/>
                            <w:rPr>
                              <w:rFonts w:cs="Calibri"/>
                            </w:rPr>
                          </w:pPr>
                          <w:r w:rsidRPr="001F592E">
                            <w:rPr>
                              <w:rFonts w:ascii="Calibri" w:hAnsi="Calibri"/>
                              <w:color w:val="58595B"/>
                            </w:rPr>
                            <w:t>Savings &amp; Capital – Effect on Benefits</w:t>
                          </w:r>
                          <w:r>
                            <w:rPr>
                              <w:rFonts w:ascii="Calibri" w:hAnsi="Calibri"/>
                              <w:color w:val="58595B"/>
                            </w:rPr>
                            <w:t xml:space="preserve"> </w:t>
                          </w:r>
                          <w:r w:rsidR="00AD7E46">
                            <w:rPr>
                              <w:rFonts w:ascii="Calibri" w:hAnsi="Calibri"/>
                              <w:color w:val="58595B"/>
                            </w:rPr>
                            <w:t>|</w:t>
                          </w:r>
                          <w:r w:rsidR="00AD7E46">
                            <w:rPr>
                              <w:rFonts w:ascii="Calibri" w:hAnsi="Calibri"/>
                              <w:color w:val="58595B"/>
                              <w:spacing w:val="-1"/>
                            </w:rPr>
                            <w:t xml:space="preserve"> </w:t>
                          </w:r>
                          <w:r w:rsidR="00AD7E46">
                            <w:rPr>
                              <w:rFonts w:ascii="Calibri" w:hAnsi="Calibri"/>
                              <w:color w:val="58595B"/>
                            </w:rPr>
                            <w:t>©</w:t>
                          </w:r>
                          <w:r w:rsidR="00AD7E46">
                            <w:rPr>
                              <w:rFonts w:ascii="Calibri" w:hAnsi="Calibri"/>
                              <w:color w:val="58595B"/>
                              <w:spacing w:val="-1"/>
                            </w:rPr>
                            <w:t xml:space="preserve"> </w:t>
                          </w:r>
                          <w:r w:rsidR="00AD7E46">
                            <w:rPr>
                              <w:rFonts w:ascii="Calibri" w:hAnsi="Calibri"/>
                              <w:color w:val="58595B"/>
                            </w:rPr>
                            <w:t>Tower Hamlets Community Advice Network</w:t>
                          </w:r>
                          <w:r w:rsidR="00AD7E46">
                            <w:rPr>
                              <w:rFonts w:ascii="Calibri" w:hAnsi="Calibri"/>
                              <w:color w:val="58595B"/>
                              <w:spacing w:val="-2"/>
                            </w:rPr>
                            <w:t xml:space="preserve"> | </w:t>
                          </w:r>
                          <w:r>
                            <w:rPr>
                              <w:rFonts w:ascii="Calibri" w:hAnsi="Calibri"/>
                              <w:color w:val="58595B"/>
                              <w:spacing w:val="-2"/>
                            </w:rPr>
                            <w:t>June</w:t>
                          </w:r>
                          <w:r w:rsidR="00AD7E46">
                            <w:rPr>
                              <w:rFonts w:ascii="Calibri" w:hAnsi="Calibri"/>
                              <w:color w:val="58595B"/>
                              <w:spacing w:val="-1"/>
                            </w:rPr>
                            <w:t xml:space="preserve"> </w:t>
                          </w:r>
                          <w:r>
                            <w:rPr>
                              <w:rFonts w:ascii="Calibri" w:hAnsi="Calibri"/>
                              <w:color w:val="58595B"/>
                            </w:rPr>
                            <w:t>2016</w:t>
                          </w:r>
                        </w:p>
                        <w:p w:rsidR="00D9110E" w:rsidRDefault="00D9110E"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2pt;margin-top:796pt;width:397.55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" filled="f" stroked="f">
              <v:textbox inset="0,0,0,0">
                <w:txbxContent>
                  <w:p w:rsidR="00AD7E46" w:rsidRDefault="001F592E" w:rsidP="00AD7E46">
                    <w:pPr>
                      <w:pStyle w:val="BodyText"/>
                      <w:spacing w:line="240" w:lineRule="exact"/>
                      <w:ind w:left="20"/>
                      <w:rPr>
                        <w:rFonts w:cs="Calibri"/>
                      </w:rPr>
                    </w:pPr>
                    <w:r w:rsidRPr="001F592E">
                      <w:rPr>
                        <w:rFonts w:ascii="Calibri" w:hAnsi="Calibri"/>
                        <w:color w:val="58595B"/>
                      </w:rPr>
                      <w:t>Savings &amp; Capital – Effect on Benefits</w:t>
                    </w:r>
                    <w:r>
                      <w:rPr>
                        <w:rFonts w:ascii="Calibri" w:hAnsi="Calibri"/>
                        <w:color w:val="58595B"/>
                      </w:rPr>
                      <w:t xml:space="preserve"> </w:t>
                    </w:r>
                    <w:r w:rsidR="00AD7E46">
                      <w:rPr>
                        <w:rFonts w:ascii="Calibri" w:hAnsi="Calibri"/>
                        <w:color w:val="58595B"/>
                      </w:rPr>
                      <w:t>|</w:t>
                    </w:r>
                    <w:r w:rsidR="00AD7E46">
                      <w:rPr>
                        <w:rFonts w:ascii="Calibri" w:hAnsi="Calibri"/>
                        <w:color w:val="58595B"/>
                        <w:spacing w:val="-1"/>
                      </w:rPr>
                      <w:t xml:space="preserve"> </w:t>
                    </w:r>
                    <w:r w:rsidR="00AD7E46">
                      <w:rPr>
                        <w:rFonts w:ascii="Calibri" w:hAnsi="Calibri"/>
                        <w:color w:val="58595B"/>
                      </w:rPr>
                      <w:t>©</w:t>
                    </w:r>
                    <w:r w:rsidR="00AD7E46">
                      <w:rPr>
                        <w:rFonts w:ascii="Calibri" w:hAnsi="Calibri"/>
                        <w:color w:val="58595B"/>
                        <w:spacing w:val="-1"/>
                      </w:rPr>
                      <w:t xml:space="preserve"> </w:t>
                    </w:r>
                    <w:r w:rsidR="00AD7E46">
                      <w:rPr>
                        <w:rFonts w:ascii="Calibri" w:hAnsi="Calibri"/>
                        <w:color w:val="58595B"/>
                      </w:rPr>
                      <w:t>Tower Hamlets Community Advice Network</w:t>
                    </w:r>
                    <w:r w:rsidR="00AD7E46">
                      <w:rPr>
                        <w:rFonts w:ascii="Calibri" w:hAnsi="Calibri"/>
                        <w:color w:val="58595B"/>
                        <w:spacing w:val="-2"/>
                      </w:rPr>
                      <w:t xml:space="preserve"> | </w:t>
                    </w:r>
                    <w:r>
                      <w:rPr>
                        <w:rFonts w:ascii="Calibri" w:hAnsi="Calibri"/>
                        <w:color w:val="58595B"/>
                        <w:spacing w:val="-2"/>
                      </w:rPr>
                      <w:t>June</w:t>
                    </w:r>
                    <w:r w:rsidR="00AD7E46">
                      <w:rPr>
                        <w:rFonts w:ascii="Calibri" w:hAnsi="Calibri"/>
                        <w:color w:val="58595B"/>
                        <w:spacing w:val="-1"/>
                      </w:rPr>
                      <w:t xml:space="preserve"> </w:t>
                    </w:r>
                    <w:r>
                      <w:rPr>
                        <w:rFonts w:ascii="Calibri" w:hAnsi="Calibri"/>
                        <w:color w:val="58595B"/>
                      </w:rPr>
                      <w:t>2016</w:t>
                    </w:r>
                  </w:p>
                  <w:p w:rsidR="00D9110E" w:rsidRDefault="00D9110E" w:rsidP="00A52133">
                    <w:pPr>
                      <w:pStyle w:val="BodyText"/>
                      <w:spacing w:line="240" w:lineRule="exact"/>
                      <w:ind w:left="20"/>
                      <w:rPr>
                        <w:rFonts w:cs="Calibri"/>
                      </w:rPr>
                    </w:pPr>
                  </w:p>
                </w:txbxContent>
              </v:textbox>
              <w10:wrap anchorx="page" anchory="page"/>
            </v:shape>
          </w:pict>
        </mc:Fallback>
      </mc:AlternateContent>
    </w:r>
  </w:p>
  <w:p w:rsidR="00D9110E" w:rsidRPr="004C3CA2" w:rsidRDefault="0061695D"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00D9110E"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7E0FA7">
      <w:rPr>
        <w:rStyle w:val="PageNumber"/>
        <w:noProof/>
        <w:color w:val="262626" w:themeColor="text1" w:themeTint="D9"/>
      </w:rPr>
      <w:t>2</w:t>
    </w:r>
    <w:r w:rsidRPr="004C3CA2">
      <w:rPr>
        <w:rStyle w:val="PageNumber"/>
        <w:color w:val="262626" w:themeColor="text1" w:themeTint="D9"/>
      </w:rPr>
      <w:fldChar w:fldCharType="end"/>
    </w:r>
  </w:p>
  <w:p w:rsidR="00D9110E" w:rsidRDefault="00D911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Pr="00B353EB" w:rsidRDefault="00B353EB" w:rsidP="00B353EB">
    <w:pPr>
      <w:pStyle w:val="BodyText"/>
      <w:spacing w:line="240" w:lineRule="exact"/>
      <w:ind w:left="20"/>
      <w:rPr>
        <w:rFonts w:cs="Calibri"/>
      </w:rPr>
    </w:pPr>
    <w:r w:rsidRPr="001F592E">
      <w:rPr>
        <w:rFonts w:ascii="Calibri" w:hAnsi="Calibri"/>
        <w:color w:val="58595B"/>
      </w:rPr>
      <w:t>Savings &amp; Capital – Effect on Benefits</w:t>
    </w:r>
    <w:r>
      <w:rPr>
        <w:rFonts w:ascii="Calibri" w:hAnsi="Calibri"/>
        <w:color w:val="58595B"/>
      </w:rPr>
      <w:t xml:space="preserve"> |</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June</w:t>
    </w:r>
    <w:r>
      <w:rPr>
        <w:rFonts w:ascii="Calibri" w:hAnsi="Calibri"/>
        <w:color w:val="58595B"/>
        <w:spacing w:val="-1"/>
      </w:rPr>
      <w:t xml:space="preserve"> </w:t>
    </w:r>
    <w:r>
      <w:rPr>
        <w:rFonts w:ascii="Calibri" w:hAnsi="Calibri"/>
        <w:color w:val="58595B"/>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831" w:rsidRDefault="00341831" w:rsidP="00587EDC">
      <w:r>
        <w:separator/>
      </w:r>
    </w:p>
  </w:footnote>
  <w:footnote w:type="continuationSeparator" w:id="0">
    <w:p w:rsidR="00341831" w:rsidRDefault="00341831" w:rsidP="0058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AD7E46" w:rsidP="004C3CA2">
    <w:pPr>
      <w:pStyle w:val="Header"/>
      <w:tabs>
        <w:tab w:val="clear" w:pos="8640"/>
        <w:tab w:val="right" w:pos="10632"/>
      </w:tabs>
      <w:ind w:left="426"/>
    </w:pPr>
    <w:r>
      <w:rPr>
        <w:noProof/>
        <w:lang w:val="en-GB" w:eastAsia="en-GB"/>
      </w:rPr>
      <w:drawing>
        <wp:inline distT="0" distB="0" distL="0" distR="0">
          <wp:extent cx="4916588" cy="7376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sidR="00D9110E">
      <w:rPr>
        <w:noProof/>
      </w:rPr>
      <w:tab/>
    </w:r>
    <w:r w:rsidR="00D9110E">
      <w:rPr>
        <w:noProof/>
      </w:rPr>
      <w:tab/>
    </w:r>
    <w:r w:rsidR="00D9110E" w:rsidRPr="00A5213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B64"/>
    <w:multiLevelType w:val="hybridMultilevel"/>
    <w:tmpl w:val="646873AE"/>
    <w:lvl w:ilvl="0" w:tplc="A6A457C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1E155FC"/>
    <w:multiLevelType w:val="hybridMultilevel"/>
    <w:tmpl w:val="C652C5FC"/>
    <w:lvl w:ilvl="0" w:tplc="452E63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912A5"/>
    <w:multiLevelType w:val="hybridMultilevel"/>
    <w:tmpl w:val="063A404E"/>
    <w:lvl w:ilvl="0" w:tplc="09321F14">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color w:val="auto"/>
      </w:rPr>
    </w:lvl>
    <w:lvl w:ilvl="2" w:tplc="254A0920" w:tentative="1">
      <w:start w:val="1"/>
      <w:numFmt w:val="lowerRoman"/>
      <w:lvlText w:val="%3."/>
      <w:lvlJc w:val="right"/>
      <w:pPr>
        <w:ind w:left="2160" w:hanging="180"/>
      </w:pPr>
      <w:rPr>
        <w:rFonts w:hint="default"/>
      </w:rPr>
    </w:lvl>
    <w:lvl w:ilvl="3" w:tplc="6BD432BE" w:tentative="1">
      <w:start w:val="1"/>
      <w:numFmt w:val="decimal"/>
      <w:lvlText w:val="%4."/>
      <w:lvlJc w:val="left"/>
      <w:pPr>
        <w:ind w:left="2880" w:hanging="360"/>
      </w:pPr>
      <w:rPr>
        <w:rFonts w:hint="default"/>
      </w:rPr>
    </w:lvl>
    <w:lvl w:ilvl="4" w:tplc="FEE432BC" w:tentative="1">
      <w:start w:val="1"/>
      <w:numFmt w:val="lowerLetter"/>
      <w:lvlText w:val="%5."/>
      <w:lvlJc w:val="left"/>
      <w:pPr>
        <w:ind w:left="3600" w:hanging="360"/>
      </w:pPr>
      <w:rPr>
        <w:rFonts w:hint="default"/>
      </w:rPr>
    </w:lvl>
    <w:lvl w:ilvl="5" w:tplc="A9AA4FD2" w:tentative="1">
      <w:start w:val="1"/>
      <w:numFmt w:val="lowerRoman"/>
      <w:lvlText w:val="%6."/>
      <w:lvlJc w:val="right"/>
      <w:pPr>
        <w:ind w:left="4320" w:hanging="180"/>
      </w:pPr>
      <w:rPr>
        <w:rFonts w:hint="default"/>
      </w:rPr>
    </w:lvl>
    <w:lvl w:ilvl="6" w:tplc="97B451CA" w:tentative="1">
      <w:start w:val="1"/>
      <w:numFmt w:val="decimal"/>
      <w:lvlText w:val="%7."/>
      <w:lvlJc w:val="left"/>
      <w:pPr>
        <w:ind w:left="5040" w:hanging="360"/>
      </w:pPr>
      <w:rPr>
        <w:rFonts w:hint="default"/>
      </w:rPr>
    </w:lvl>
    <w:lvl w:ilvl="7" w:tplc="198C688C" w:tentative="1">
      <w:start w:val="1"/>
      <w:numFmt w:val="lowerLetter"/>
      <w:lvlText w:val="%8."/>
      <w:lvlJc w:val="left"/>
      <w:pPr>
        <w:ind w:left="5760" w:hanging="360"/>
      </w:pPr>
      <w:rPr>
        <w:rFonts w:hint="default"/>
      </w:rPr>
    </w:lvl>
    <w:lvl w:ilvl="8" w:tplc="4C222E64" w:tentative="1">
      <w:start w:val="1"/>
      <w:numFmt w:val="lowerRoman"/>
      <w:lvlText w:val="%9."/>
      <w:lvlJc w:val="right"/>
      <w:pPr>
        <w:ind w:left="6480" w:hanging="180"/>
      </w:pPr>
      <w:rPr>
        <w:rFonts w:hint="default"/>
      </w:rPr>
    </w:lvl>
  </w:abstractNum>
  <w:abstractNum w:abstractNumId="3" w15:restartNumberingAfterBreak="0">
    <w:nsid w:val="22D210BF"/>
    <w:multiLevelType w:val="hybridMultilevel"/>
    <w:tmpl w:val="2FBC85AA"/>
    <w:lvl w:ilvl="0" w:tplc="E9B451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A73F4"/>
    <w:multiLevelType w:val="hybridMultilevel"/>
    <w:tmpl w:val="A594D130"/>
    <w:lvl w:ilvl="0" w:tplc="E9B451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F0029"/>
    <w:multiLevelType w:val="hybridMultilevel"/>
    <w:tmpl w:val="BAC80432"/>
    <w:lvl w:ilvl="0" w:tplc="E9B451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86D51"/>
    <w:multiLevelType w:val="hybridMultilevel"/>
    <w:tmpl w:val="5BDC7B9E"/>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color w:val="auto"/>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7" w15:restartNumberingAfterBreak="0">
    <w:nsid w:val="46AE384D"/>
    <w:multiLevelType w:val="hybridMultilevel"/>
    <w:tmpl w:val="4FE44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A62E9"/>
    <w:multiLevelType w:val="hybridMultilevel"/>
    <w:tmpl w:val="8F12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B328C"/>
    <w:multiLevelType w:val="hybridMultilevel"/>
    <w:tmpl w:val="E9982574"/>
    <w:lvl w:ilvl="0" w:tplc="E9B451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92893"/>
    <w:multiLevelType w:val="hybridMultilevel"/>
    <w:tmpl w:val="8F761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03727C"/>
    <w:multiLevelType w:val="hybridMultilevel"/>
    <w:tmpl w:val="AD1A69C2"/>
    <w:lvl w:ilvl="0" w:tplc="E9B45132">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D46360"/>
    <w:multiLevelType w:val="hybridMultilevel"/>
    <w:tmpl w:val="5730336C"/>
    <w:lvl w:ilvl="0" w:tplc="452E63A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E2C2BDC"/>
    <w:multiLevelType w:val="hybridMultilevel"/>
    <w:tmpl w:val="8B34D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12"/>
  </w:num>
  <w:num w:numId="4">
    <w:abstractNumId w:val="13"/>
  </w:num>
  <w:num w:numId="5">
    <w:abstractNumId w:val="4"/>
  </w:num>
  <w:num w:numId="6">
    <w:abstractNumId w:val="11"/>
  </w:num>
  <w:num w:numId="7">
    <w:abstractNumId w:val="9"/>
  </w:num>
  <w:num w:numId="8">
    <w:abstractNumId w:val="3"/>
  </w:num>
  <w:num w:numId="9">
    <w:abstractNumId w:val="5"/>
  </w:num>
  <w:num w:numId="10">
    <w:abstractNumId w:val="6"/>
  </w:num>
  <w:num w:numId="11">
    <w:abstractNumId w:val="0"/>
  </w:num>
  <w:num w:numId="12">
    <w:abstractNumId w:val="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D9"/>
    <w:rsid w:val="00055294"/>
    <w:rsid w:val="001D3F1D"/>
    <w:rsid w:val="001F592E"/>
    <w:rsid w:val="002B049E"/>
    <w:rsid w:val="00341831"/>
    <w:rsid w:val="004C3CA2"/>
    <w:rsid w:val="0055644D"/>
    <w:rsid w:val="00587EDC"/>
    <w:rsid w:val="0061695D"/>
    <w:rsid w:val="006C4705"/>
    <w:rsid w:val="00747E4E"/>
    <w:rsid w:val="0076468F"/>
    <w:rsid w:val="007E0FA7"/>
    <w:rsid w:val="00A52133"/>
    <w:rsid w:val="00AA7BFE"/>
    <w:rsid w:val="00AD7E46"/>
    <w:rsid w:val="00B353EB"/>
    <w:rsid w:val="00D9110E"/>
    <w:rsid w:val="00D94AD9"/>
    <w:rsid w:val="00DC776B"/>
    <w:rsid w:val="00E86DE7"/>
    <w:rsid w:val="00EA3B98"/>
    <w:rsid w:val="00F61D64"/>
    <w:rsid w:val="00FC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B72E073-C5F8-410E-BCD0-17643767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paragraph" w:customStyle="1" w:styleId="Default">
    <w:name w:val="Default"/>
    <w:rsid w:val="002B049E"/>
    <w:pPr>
      <w:widowControl/>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4F7A5-DFE4-4097-90E1-7359853E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Alkamal Rahman</dc:creator>
  <cp:lastModifiedBy>Alkamal Rahman</cp:lastModifiedBy>
  <cp:revision>3</cp:revision>
  <dcterms:created xsi:type="dcterms:W3CDTF">2016-07-27T11:46:00Z</dcterms:created>
  <dcterms:modified xsi:type="dcterms:W3CDTF">2016-07-27T11:46:00Z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