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601699">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DC1672"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B2428A" w:rsidP="00EF492A">
      <w:pPr>
        <w:spacing w:line="700" w:lineRule="exact"/>
        <w:ind w:left="567"/>
        <w:rPr>
          <w:rFonts w:ascii="Calibri" w:eastAsia="Calibri" w:hAnsi="Calibri" w:cs="Calibri"/>
          <w:sz w:val="60"/>
          <w:szCs w:val="60"/>
        </w:rPr>
      </w:pPr>
      <w:r>
        <w:rPr>
          <w:rFonts w:ascii="Calibri"/>
          <w:b/>
          <w:color w:val="FFFFFF"/>
          <w:spacing w:val="9"/>
          <w:sz w:val="60"/>
        </w:rPr>
        <w:t>Adviser Checklist</w:t>
      </w:r>
      <w:r w:rsidR="00014903">
        <w:rPr>
          <w:rFonts w:ascii="Calibri"/>
          <w:b/>
          <w:color w:val="FFFFFF"/>
          <w:spacing w:val="9"/>
          <w:sz w:val="60"/>
        </w:rPr>
        <w:t xml:space="preserve"> – Benefits Cap</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EF492A" w:rsidRDefault="00EF492A" w:rsidP="00EF492A">
      <w:pPr>
        <w:rPr>
          <w:rFonts w:ascii="Arial" w:hAnsi="Arial" w:cs="Arial"/>
          <w:b/>
          <w:sz w:val="24"/>
          <w:szCs w:val="24"/>
        </w:rPr>
      </w:pPr>
    </w:p>
    <w:p w:rsidR="00EF492A" w:rsidRDefault="00EF492A" w:rsidP="00EF492A">
      <w:pPr>
        <w:rPr>
          <w:rFonts w:ascii="Arial" w:hAnsi="Arial" w:cs="Arial"/>
          <w:b/>
          <w:sz w:val="24"/>
          <w:szCs w:val="24"/>
        </w:rPr>
      </w:pPr>
    </w:p>
    <w:p w:rsidR="00EF492A" w:rsidRDefault="00EF492A" w:rsidP="00EF492A">
      <w:pPr>
        <w:rPr>
          <w:rFonts w:ascii="Arial" w:hAnsi="Arial" w:cs="Arial"/>
          <w:b/>
          <w:sz w:val="24"/>
          <w:szCs w:val="24"/>
        </w:rPr>
      </w:pPr>
    </w:p>
    <w:p w:rsidR="00EF492A" w:rsidRDefault="00EF492A" w:rsidP="00EF492A">
      <w:pPr>
        <w:ind w:left="284"/>
        <w:rPr>
          <w:rFonts w:cstheme="minorHAnsi"/>
          <w:b/>
        </w:rPr>
      </w:pPr>
      <w:r w:rsidRPr="00EA6018">
        <w:rPr>
          <w:rFonts w:cstheme="minorHAnsi"/>
          <w:b/>
        </w:rPr>
        <w:t>Benefit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 xml:space="preserve">Check the calculation of benefits – is it correct? Note that </w:t>
      </w:r>
      <w:r w:rsidR="00427459">
        <w:rPr>
          <w:rFonts w:cstheme="minorHAnsi"/>
        </w:rPr>
        <w:t xml:space="preserve">only </w:t>
      </w:r>
      <w:r w:rsidR="002515FB">
        <w:rPr>
          <w:rFonts w:cstheme="minorHAnsi"/>
        </w:rPr>
        <w:t xml:space="preserve">working age </w:t>
      </w:r>
      <w:r w:rsidR="00427459">
        <w:rPr>
          <w:rFonts w:cstheme="minorHAnsi"/>
        </w:rPr>
        <w:t xml:space="preserve">claimants on HB or </w:t>
      </w:r>
      <w:r w:rsidR="002515FB">
        <w:rPr>
          <w:rFonts w:cstheme="minorHAnsi"/>
        </w:rPr>
        <w:t xml:space="preserve">those in receipt of </w:t>
      </w:r>
      <w:r w:rsidR="00427459">
        <w:rPr>
          <w:rFonts w:cstheme="minorHAnsi"/>
        </w:rPr>
        <w:t xml:space="preserve">UC </w:t>
      </w:r>
      <w:r w:rsidR="002515FB">
        <w:rPr>
          <w:rFonts w:cstheme="minorHAnsi"/>
        </w:rPr>
        <w:t xml:space="preserve">are </w:t>
      </w:r>
      <w:r w:rsidR="00427459">
        <w:rPr>
          <w:rFonts w:cstheme="minorHAnsi"/>
        </w:rPr>
        <w:t xml:space="preserve">affected and </w:t>
      </w:r>
      <w:r w:rsidR="002515FB">
        <w:rPr>
          <w:rFonts w:cstheme="minorHAnsi"/>
        </w:rPr>
        <w:t xml:space="preserve">only </w:t>
      </w:r>
      <w:r w:rsidR="00427459">
        <w:rPr>
          <w:rFonts w:cstheme="minorHAnsi"/>
        </w:rPr>
        <w:t>‘specified benefits’ are taken into account for the cap so some benefits are NOT</w:t>
      </w:r>
      <w:r w:rsidRPr="00EA6018">
        <w:rPr>
          <w:rFonts w:cstheme="minorHAnsi"/>
        </w:rPr>
        <w:t xml:space="preserve"> included</w:t>
      </w:r>
      <w:r w:rsidR="002515FB">
        <w:rPr>
          <w:rFonts w:cstheme="minorHAnsi"/>
        </w:rPr>
        <w:t xml:space="preserve"> </w:t>
      </w:r>
      <w:r w:rsidRPr="00EA6018">
        <w:rPr>
          <w:rFonts w:cstheme="minorHAnsi"/>
        </w:rPr>
        <w:t>(</w:t>
      </w:r>
      <w:r w:rsidR="00427459">
        <w:rPr>
          <w:rFonts w:cstheme="minorHAnsi"/>
        </w:rPr>
        <w:t xml:space="preserve">e.g. </w:t>
      </w:r>
      <w:r w:rsidRPr="00EA6018">
        <w:rPr>
          <w:rFonts w:cstheme="minorHAnsi"/>
        </w:rPr>
        <w:t>Council Tax Benefit, one-off payments, free school meals, the childcare element of Universal Credit)</w:t>
      </w:r>
    </w:p>
    <w:p w:rsidR="001B7280"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Is the client, or could the client be exempt</w:t>
      </w:r>
      <w:r w:rsidR="00184FE1">
        <w:rPr>
          <w:rFonts w:cstheme="minorHAnsi"/>
        </w:rPr>
        <w:t>?</w:t>
      </w:r>
      <w:r w:rsidRPr="00EA6018">
        <w:rPr>
          <w:rFonts w:cstheme="minorHAnsi"/>
        </w:rPr>
        <w:t xml:space="preserve"> </w:t>
      </w:r>
      <w:r w:rsidR="00184FE1">
        <w:rPr>
          <w:rFonts w:cstheme="minorHAnsi"/>
        </w:rPr>
        <w:t>T</w:t>
      </w:r>
      <w:r w:rsidRPr="00EA6018">
        <w:rPr>
          <w:rFonts w:cstheme="minorHAnsi"/>
        </w:rPr>
        <w:t>he cap won’t apply to households where</w:t>
      </w:r>
      <w:r w:rsidR="00184FE1">
        <w:rPr>
          <w:rFonts w:cstheme="minorHAnsi"/>
        </w:rPr>
        <w:t>:</w:t>
      </w:r>
      <w:r w:rsidRPr="00EA6018">
        <w:rPr>
          <w:rFonts w:cstheme="minorHAnsi"/>
        </w:rPr>
        <w:t xml:space="preserve"> </w:t>
      </w:r>
    </w:p>
    <w:p w:rsidR="001B7280" w:rsidRDefault="00EF492A" w:rsidP="001B7280">
      <w:pPr>
        <w:pStyle w:val="ListParagraph"/>
        <w:widowControl/>
        <w:numPr>
          <w:ilvl w:val="1"/>
          <w:numId w:val="1"/>
        </w:numPr>
        <w:spacing w:after="200" w:line="276" w:lineRule="auto"/>
        <w:contextualSpacing/>
        <w:rPr>
          <w:rFonts w:cstheme="minorHAnsi"/>
        </w:rPr>
      </w:pPr>
      <w:r w:rsidRPr="00EA6018">
        <w:rPr>
          <w:rFonts w:cstheme="minorHAnsi"/>
        </w:rPr>
        <w:t xml:space="preserve">someone is working and claiming </w:t>
      </w:r>
      <w:r w:rsidR="001B7280">
        <w:rPr>
          <w:rFonts w:cstheme="minorHAnsi"/>
        </w:rPr>
        <w:t xml:space="preserve">Working </w:t>
      </w:r>
      <w:r w:rsidRPr="00EA6018">
        <w:rPr>
          <w:rFonts w:cstheme="minorHAnsi"/>
        </w:rPr>
        <w:t xml:space="preserve">Tax Credits </w:t>
      </w:r>
    </w:p>
    <w:p w:rsidR="001B7280" w:rsidRDefault="001B7280" w:rsidP="001B7280">
      <w:pPr>
        <w:pStyle w:val="ListParagraph"/>
        <w:widowControl/>
        <w:numPr>
          <w:ilvl w:val="1"/>
          <w:numId w:val="1"/>
        </w:numPr>
        <w:spacing w:after="200" w:line="276" w:lineRule="auto"/>
        <w:contextualSpacing/>
        <w:rPr>
          <w:rFonts w:cstheme="minorHAnsi"/>
        </w:rPr>
      </w:pPr>
      <w:r>
        <w:rPr>
          <w:rFonts w:cstheme="minorHAnsi"/>
        </w:rPr>
        <w:t>they are</w:t>
      </w:r>
      <w:r w:rsidR="00427459">
        <w:rPr>
          <w:rFonts w:cstheme="minorHAnsi"/>
        </w:rPr>
        <w:t xml:space="preserve"> on Universal Credit earning £520</w:t>
      </w:r>
      <w:r>
        <w:rPr>
          <w:rFonts w:cstheme="minorHAnsi"/>
        </w:rPr>
        <w:t xml:space="preserve"> </w:t>
      </w:r>
      <w:r w:rsidR="00147324">
        <w:rPr>
          <w:rFonts w:cstheme="minorHAnsi"/>
        </w:rPr>
        <w:t xml:space="preserve">net </w:t>
      </w:r>
      <w:r>
        <w:rPr>
          <w:rFonts w:cstheme="minorHAnsi"/>
        </w:rPr>
        <w:t xml:space="preserve">or more per month (or combined income is at least this if couple) </w:t>
      </w:r>
    </w:p>
    <w:p w:rsidR="00EF492A" w:rsidRPr="00EA6018" w:rsidRDefault="00184FE1" w:rsidP="001B7280">
      <w:pPr>
        <w:pStyle w:val="ListParagraph"/>
        <w:widowControl/>
        <w:numPr>
          <w:ilvl w:val="1"/>
          <w:numId w:val="1"/>
        </w:numPr>
        <w:spacing w:after="200" w:line="276" w:lineRule="auto"/>
        <w:contextualSpacing/>
        <w:rPr>
          <w:rFonts w:cstheme="minorHAnsi"/>
        </w:rPr>
      </w:pPr>
      <w:r>
        <w:rPr>
          <w:rFonts w:cstheme="minorHAnsi"/>
        </w:rPr>
        <w:t>w</w:t>
      </w:r>
      <w:r w:rsidR="00116CA5" w:rsidRPr="00EA6018">
        <w:rPr>
          <w:rFonts w:cstheme="minorHAnsi"/>
        </w:rPr>
        <w:t>here</w:t>
      </w:r>
      <w:r w:rsidR="00EF492A" w:rsidRPr="00EA6018">
        <w:rPr>
          <w:rFonts w:cstheme="minorHAnsi"/>
        </w:rPr>
        <w:t xml:space="preserve"> the claimant, partner or dependent child are receiving DLA, Attendance Allowance or Personal Independence Payment, or the claimant is a war widow or widower.</w:t>
      </w:r>
    </w:p>
    <w:p w:rsidR="00EF492A"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If the claimant has been in work for the previous 12 months and lost the job through no fault of their own, they will be exempt for a period of 9 months.</w:t>
      </w:r>
    </w:p>
    <w:p w:rsidR="00116CA5" w:rsidRDefault="00116CA5" w:rsidP="00EF492A">
      <w:pPr>
        <w:pStyle w:val="ListParagraph"/>
        <w:widowControl/>
        <w:numPr>
          <w:ilvl w:val="0"/>
          <w:numId w:val="1"/>
        </w:numPr>
        <w:spacing w:after="200" w:line="276" w:lineRule="auto"/>
        <w:contextualSpacing/>
        <w:rPr>
          <w:rFonts w:cstheme="minorHAnsi"/>
        </w:rPr>
      </w:pPr>
      <w:r>
        <w:rPr>
          <w:rFonts w:cstheme="minorHAnsi"/>
        </w:rPr>
        <w:t>If the total amount they receive is below a certain level they will not be affected.</w:t>
      </w:r>
    </w:p>
    <w:p w:rsidR="00116CA5" w:rsidRPr="00740BAB" w:rsidRDefault="00116CA5" w:rsidP="00740BAB">
      <w:pPr>
        <w:widowControl/>
        <w:spacing w:after="200" w:line="276" w:lineRule="auto"/>
        <w:ind w:left="360"/>
        <w:contextualSpacing/>
        <w:rPr>
          <w:rFonts w:cstheme="minorHAnsi"/>
          <w:b/>
        </w:rPr>
      </w:pPr>
      <w:r w:rsidRPr="00740BAB">
        <w:rPr>
          <w:rFonts w:cstheme="minorHAnsi"/>
          <w:b/>
        </w:rPr>
        <w:t>Even if the claimant is not exempt now, can they become ex</w:t>
      </w:r>
      <w:r w:rsidR="00E50C5B" w:rsidRPr="00740BAB">
        <w:rPr>
          <w:rFonts w:cstheme="minorHAnsi"/>
          <w:b/>
        </w:rPr>
        <w:t>e</w:t>
      </w:r>
      <w:r w:rsidRPr="00740BAB">
        <w:rPr>
          <w:rFonts w:cstheme="minorHAnsi"/>
          <w:b/>
        </w:rPr>
        <w:t>mpt?</w:t>
      </w:r>
    </w:p>
    <w:p w:rsidR="00E50C5B" w:rsidRDefault="00740BAB" w:rsidP="00E50C5B">
      <w:pPr>
        <w:pStyle w:val="ListParagraph"/>
        <w:widowControl/>
        <w:numPr>
          <w:ilvl w:val="0"/>
          <w:numId w:val="1"/>
        </w:numPr>
        <w:spacing w:after="200" w:line="276" w:lineRule="auto"/>
        <w:contextualSpacing/>
        <w:rPr>
          <w:rFonts w:cstheme="minorHAnsi"/>
        </w:rPr>
      </w:pPr>
      <w:r>
        <w:rPr>
          <w:rFonts w:cstheme="minorHAnsi"/>
        </w:rPr>
        <w:t>C</w:t>
      </w:r>
      <w:r w:rsidR="00E50C5B">
        <w:rPr>
          <w:rFonts w:cstheme="minorHAnsi"/>
        </w:rPr>
        <w:t>heck eligibility for disability benefits</w:t>
      </w:r>
      <w:r>
        <w:rPr>
          <w:rFonts w:cstheme="minorHAnsi"/>
        </w:rPr>
        <w:t xml:space="preserve"> – if not getting could they/member of family be eligible</w:t>
      </w:r>
    </w:p>
    <w:p w:rsidR="00E50C5B" w:rsidRDefault="00E50C5B" w:rsidP="00E50C5B">
      <w:pPr>
        <w:pStyle w:val="ListParagraph"/>
        <w:widowControl/>
        <w:numPr>
          <w:ilvl w:val="0"/>
          <w:numId w:val="1"/>
        </w:numPr>
        <w:spacing w:after="200" w:line="276" w:lineRule="auto"/>
        <w:contextualSpacing/>
        <w:rPr>
          <w:rFonts w:cstheme="minorHAnsi"/>
        </w:rPr>
      </w:pPr>
      <w:r>
        <w:rPr>
          <w:rFonts w:cstheme="minorHAnsi"/>
        </w:rPr>
        <w:t>Can they find work or increase hours at work?</w:t>
      </w:r>
    </w:p>
    <w:p w:rsidR="00E50C5B" w:rsidRPr="00EA6018" w:rsidRDefault="00E50C5B" w:rsidP="00E50C5B">
      <w:pPr>
        <w:pStyle w:val="ListParagraph"/>
        <w:widowControl/>
        <w:numPr>
          <w:ilvl w:val="0"/>
          <w:numId w:val="1"/>
        </w:numPr>
        <w:spacing w:after="200" w:line="276" w:lineRule="auto"/>
        <w:contextualSpacing/>
        <w:rPr>
          <w:rFonts w:cstheme="minorHAnsi"/>
        </w:rPr>
      </w:pPr>
      <w:r>
        <w:rPr>
          <w:rFonts w:cstheme="minorHAnsi"/>
        </w:rPr>
        <w:t xml:space="preserve">Make a claim to DHP </w:t>
      </w:r>
    </w:p>
    <w:p w:rsidR="00EF492A" w:rsidRPr="00EA6018" w:rsidRDefault="00EF492A" w:rsidP="00EF492A">
      <w:pPr>
        <w:rPr>
          <w:rFonts w:cstheme="minorHAnsi"/>
          <w:b/>
        </w:rPr>
      </w:pPr>
    </w:p>
    <w:p w:rsidR="00EF492A" w:rsidRDefault="00EF492A" w:rsidP="00EF492A">
      <w:pPr>
        <w:ind w:left="284"/>
        <w:rPr>
          <w:rFonts w:cstheme="minorHAnsi"/>
          <w:b/>
        </w:rPr>
      </w:pPr>
      <w:r w:rsidRPr="00EA6018">
        <w:rPr>
          <w:rFonts w:cstheme="minorHAnsi"/>
          <w:b/>
        </w:rPr>
        <w:t>Debt/Money Management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Could the shortfall between Housing Benefit and rent be met through better budgeting?</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Is the client repaying credit debts that could be written off or have the repayments reduced?</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Are there ways to reduce other essential costs such as fuel costs?</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Is the client getting Council Tax Benefit?</w:t>
      </w:r>
    </w:p>
    <w:p w:rsidR="00EF492A"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Could non-dependents contribute more?</w:t>
      </w:r>
    </w:p>
    <w:p w:rsidR="00EF492A" w:rsidRDefault="00EF492A" w:rsidP="00EF492A">
      <w:pPr>
        <w:ind w:left="284"/>
        <w:rPr>
          <w:rFonts w:cstheme="minorHAnsi"/>
        </w:rPr>
      </w:pPr>
      <w:r w:rsidRPr="00EA6018">
        <w:rPr>
          <w:rFonts w:cstheme="minorHAnsi"/>
        </w:rPr>
        <w:t>In all cases, referral for a financial statement/ debt advice</w:t>
      </w:r>
      <w:r w:rsidR="00740BAB">
        <w:rPr>
          <w:rFonts w:cstheme="minorHAnsi"/>
        </w:rPr>
        <w:t>/financial literacy support</w:t>
      </w:r>
      <w:r w:rsidRPr="00EA6018">
        <w:rPr>
          <w:rFonts w:cstheme="minorHAnsi"/>
        </w:rPr>
        <w:t xml:space="preserve"> should be considered.</w:t>
      </w:r>
    </w:p>
    <w:p w:rsidR="00740BAB" w:rsidRDefault="00740BAB" w:rsidP="00EF492A">
      <w:pPr>
        <w:ind w:left="284"/>
        <w:rPr>
          <w:rFonts w:cstheme="minorHAnsi"/>
        </w:rPr>
      </w:pPr>
      <w:r>
        <w:rPr>
          <w:rFonts w:cstheme="minorHAnsi"/>
        </w:rPr>
        <w:t xml:space="preserve">Check </w:t>
      </w:r>
      <w:hyperlink r:id="rId8" w:history="1">
        <w:r w:rsidRPr="00965F0B">
          <w:rPr>
            <w:rStyle w:val="Hyperlink"/>
            <w:rFonts w:cstheme="minorHAnsi"/>
          </w:rPr>
          <w:t>www.thcan.org.uk</w:t>
        </w:r>
      </w:hyperlink>
      <w:r>
        <w:rPr>
          <w:rFonts w:cstheme="minorHAnsi"/>
        </w:rPr>
        <w:t xml:space="preserve"> website debt page for Tower Hamlets </w:t>
      </w:r>
      <w:proofErr w:type="spellStart"/>
      <w:r>
        <w:rPr>
          <w:rFonts w:cstheme="minorHAnsi"/>
        </w:rPr>
        <w:t>organisations</w:t>
      </w:r>
      <w:proofErr w:type="spellEnd"/>
      <w:r>
        <w:rPr>
          <w:rFonts w:cstheme="minorHAnsi"/>
        </w:rPr>
        <w:t xml:space="preserve"> offering financial literacy support</w:t>
      </w:r>
    </w:p>
    <w:p w:rsidR="00184FE1" w:rsidRPr="00EA6018" w:rsidRDefault="00184FE1" w:rsidP="00EF492A">
      <w:pPr>
        <w:ind w:left="284"/>
        <w:rPr>
          <w:rFonts w:cstheme="minorHAnsi"/>
        </w:rPr>
      </w:pPr>
    </w:p>
    <w:p w:rsidR="00EF492A" w:rsidRPr="00EA6018" w:rsidRDefault="00EF492A" w:rsidP="00EF492A">
      <w:pPr>
        <w:ind w:left="284"/>
        <w:rPr>
          <w:rFonts w:cstheme="minorHAnsi"/>
        </w:rPr>
      </w:pPr>
    </w:p>
    <w:p w:rsidR="00EF492A" w:rsidRDefault="00EF492A" w:rsidP="00EF492A">
      <w:pPr>
        <w:ind w:left="284"/>
        <w:rPr>
          <w:rFonts w:cstheme="minorHAnsi"/>
          <w:b/>
        </w:rPr>
      </w:pPr>
      <w:r w:rsidRPr="00EA6018">
        <w:rPr>
          <w:rFonts w:cstheme="minorHAnsi"/>
          <w:b/>
        </w:rPr>
        <w:lastRenderedPageBreak/>
        <w:t>Housing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Is the client in private or public sector housing? If private, can rent be negotiated down to an affordable level?</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 xml:space="preserve">If unaffordable, is the client eligible </w:t>
      </w:r>
      <w:r w:rsidR="00740BAB">
        <w:rPr>
          <w:rFonts w:cstheme="minorHAnsi"/>
        </w:rPr>
        <w:t xml:space="preserve">to apply for </w:t>
      </w:r>
      <w:r w:rsidRPr="00EA6018">
        <w:rPr>
          <w:rFonts w:cstheme="minorHAnsi"/>
        </w:rPr>
        <w:t>social housing</w:t>
      </w:r>
      <w:r w:rsidR="00740BAB">
        <w:rPr>
          <w:rFonts w:cstheme="minorHAnsi"/>
        </w:rPr>
        <w:t xml:space="preserve"> (long term solution)</w:t>
      </w:r>
      <w:r w:rsidRPr="00EA6018">
        <w:rPr>
          <w:rFonts w:cstheme="minorHAnsi"/>
        </w:rPr>
        <w:t>?</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Are the client’s circumstances likely to improve significantly in the foreseeable future (e.g. by obtaining work, increasing hours of work) – if so, it may be possible to get a Discretionary Housing Payment to cover the interim period.</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Is there any potential for legal challenges to repossession on housing or public law grounds</w:t>
      </w:r>
      <w:r w:rsidR="00740BAB">
        <w:rPr>
          <w:rFonts w:cstheme="minorHAnsi"/>
        </w:rPr>
        <w:t xml:space="preserve"> (specialist referral CPAG)</w:t>
      </w:r>
      <w:r w:rsidRPr="00EA6018">
        <w:rPr>
          <w:rFonts w:cstheme="minorHAnsi"/>
        </w:rPr>
        <w:t>?</w:t>
      </w:r>
    </w:p>
    <w:p w:rsidR="00EF492A" w:rsidRPr="00EA6018" w:rsidRDefault="00EF492A" w:rsidP="00EF492A">
      <w:pPr>
        <w:ind w:left="284"/>
        <w:rPr>
          <w:rFonts w:cstheme="minorHAnsi"/>
        </w:rPr>
      </w:pPr>
      <w:r w:rsidRPr="00EA6018">
        <w:rPr>
          <w:rFonts w:cstheme="minorHAnsi"/>
        </w:rPr>
        <w:t>In any cases wh</w:t>
      </w:r>
      <w:bookmarkStart w:id="0" w:name="_GoBack"/>
      <w:bookmarkEnd w:id="0"/>
      <w:r w:rsidRPr="00EA6018">
        <w:rPr>
          <w:rFonts w:cstheme="minorHAnsi"/>
        </w:rPr>
        <w:t>ere repossession is actually threatened, the client should be referred for specialist housing advice wherever possible. If there is no prospect of the client being able to afford the rent then information should be given on:</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Accessing more support to find employment – including ESOL classes, volunteering, training opportunities – not only for the client but for any non-dependents in the household</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Homelessness applications (if client is eligible) – but note that temporary accommodation may also be subject to the benefit cap</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Finding cheaper accommodation. This may be outside the borough.</w:t>
      </w:r>
    </w:p>
    <w:p w:rsidR="00EF492A" w:rsidRPr="00EA6018" w:rsidRDefault="00EF492A" w:rsidP="00EF492A">
      <w:pPr>
        <w:ind w:left="284"/>
        <w:rPr>
          <w:rFonts w:cstheme="minorHAnsi"/>
        </w:rPr>
      </w:pPr>
    </w:p>
    <w:p w:rsidR="00EF492A" w:rsidRPr="00EA6018" w:rsidRDefault="00EF492A" w:rsidP="00EF492A">
      <w:pPr>
        <w:ind w:left="284"/>
        <w:rPr>
          <w:rFonts w:cstheme="minorHAnsi"/>
        </w:rPr>
      </w:pPr>
      <w:r w:rsidRPr="00EA6018">
        <w:rPr>
          <w:rFonts w:cstheme="minorHAnsi"/>
        </w:rPr>
        <w:t>The above checklist can also be used when advising clients about the effect of the new Local Housing Allowances AND THE Housing Benefit reduction for under-occupation.</w:t>
      </w:r>
    </w:p>
    <w:p w:rsidR="00EF492A" w:rsidRPr="00EA6018" w:rsidRDefault="00EF492A" w:rsidP="00EF492A">
      <w:pPr>
        <w:rPr>
          <w:rFonts w:cstheme="minorHAnsi"/>
        </w:rPr>
      </w:pPr>
    </w:p>
    <w:p w:rsidR="00D94AD9" w:rsidRPr="00EA6018" w:rsidRDefault="00D94AD9">
      <w:pPr>
        <w:spacing w:line="200" w:lineRule="exact"/>
        <w:rPr>
          <w:rFonts w:cstheme="minorHAnsi"/>
        </w:rPr>
      </w:pPr>
    </w:p>
    <w:p w:rsidR="00D94AD9" w:rsidRPr="00EA6018" w:rsidRDefault="00D94AD9">
      <w:pPr>
        <w:spacing w:line="200" w:lineRule="exact"/>
        <w:rPr>
          <w:rFonts w:cstheme="minorHAnsi"/>
        </w:rPr>
      </w:pPr>
    </w:p>
    <w:p w:rsidR="00D94AD9" w:rsidRPr="00EA6018" w:rsidRDefault="00D94AD9">
      <w:pPr>
        <w:spacing w:before="1" w:line="180" w:lineRule="exact"/>
        <w:rPr>
          <w:rFonts w:cstheme="minorHAnsi"/>
        </w:rPr>
      </w:pPr>
    </w:p>
    <w:p w:rsidR="00D94AD9" w:rsidRPr="00EA6018" w:rsidRDefault="00D94AD9">
      <w:pPr>
        <w:spacing w:line="200" w:lineRule="exact"/>
        <w:rPr>
          <w:rFonts w:cstheme="minorHAnsi"/>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sectPr w:rsidR="00D94AD9" w:rsidSect="00A925D7">
      <w:headerReference w:type="default" r:id="rId9"/>
      <w:footerReference w:type="even" r:id="rId10"/>
      <w:footerReference w:type="default" r:id="rId11"/>
      <w:headerReference w:type="first" r:id="rId12"/>
      <w:footerReference w:type="first" r:id="rId13"/>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AB" w:rsidRDefault="00740BAB" w:rsidP="00587EDC">
      <w:r>
        <w:separator/>
      </w:r>
    </w:p>
  </w:endnote>
  <w:endnote w:type="continuationSeparator" w:id="0">
    <w:p w:rsidR="00740BAB" w:rsidRDefault="00740BAB"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AB" w:rsidRDefault="00740BAB"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BAB" w:rsidRDefault="00740BAB"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AB" w:rsidRDefault="00740BAB" w:rsidP="004C3CA2">
    <w:pPr>
      <w:spacing w:line="14" w:lineRule="auto"/>
      <w:ind w:right="360"/>
      <w:rPr>
        <w:sz w:val="20"/>
        <w:szCs w:val="20"/>
      </w:rPr>
    </w:pPr>
  </w:p>
  <w:p w:rsidR="00740BAB" w:rsidRPr="004C3CA2" w:rsidRDefault="00740BAB"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047D84">
      <w:rPr>
        <w:rStyle w:val="PageNumber"/>
        <w:noProof/>
        <w:color w:val="262626" w:themeColor="text1" w:themeTint="D9"/>
      </w:rPr>
      <w:t>2</w:t>
    </w:r>
    <w:r w:rsidRPr="004C3CA2">
      <w:rPr>
        <w:rStyle w:val="PageNumber"/>
        <w:color w:val="262626" w:themeColor="text1" w:themeTint="D9"/>
      </w:rPr>
      <w:fldChar w:fldCharType="end"/>
    </w:r>
  </w:p>
  <w:p w:rsidR="00740BAB" w:rsidRDefault="00740BAB">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40BAB" w:rsidRDefault="00740BAB"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047D84">
                            <w:rPr>
                              <w:rFonts w:ascii="Calibri" w:hAnsi="Calibri"/>
                              <w:color w:val="58595B"/>
                            </w:rPr>
                            <w:t>January</w:t>
                          </w:r>
                          <w:r>
                            <w:rPr>
                              <w:rFonts w:ascii="Calibri" w:hAnsi="Calibri"/>
                              <w:color w:val="58595B"/>
                              <w:spacing w:val="-1"/>
                            </w:rPr>
                            <w:t xml:space="preserve"> </w:t>
                          </w:r>
                          <w:r>
                            <w:rPr>
                              <w:rFonts w:ascii="Calibri" w:hAnsi="Calibri"/>
                              <w:color w:val="58595B"/>
                            </w:rPr>
                            <w:t>201</w:t>
                          </w:r>
                          <w:r w:rsidR="00047D84">
                            <w:rPr>
                              <w:rFonts w:ascii="Calibri" w:hAnsi="Calibri"/>
                              <w:color w:val="58595B"/>
                            </w:rPr>
                            <w:t>8</w:t>
                          </w:r>
                        </w:p>
                        <w:p w:rsidR="00740BAB" w:rsidRDefault="00740BAB"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740BAB" w:rsidRDefault="00740BAB"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047D84">
                      <w:rPr>
                        <w:rFonts w:ascii="Calibri" w:hAnsi="Calibri"/>
                        <w:color w:val="58595B"/>
                      </w:rPr>
                      <w:t>January</w:t>
                    </w:r>
                    <w:r>
                      <w:rPr>
                        <w:rFonts w:ascii="Calibri" w:hAnsi="Calibri"/>
                        <w:color w:val="58595B"/>
                        <w:spacing w:val="-1"/>
                      </w:rPr>
                      <w:t xml:space="preserve"> </w:t>
                    </w:r>
                    <w:r>
                      <w:rPr>
                        <w:rFonts w:ascii="Calibri" w:hAnsi="Calibri"/>
                        <w:color w:val="58595B"/>
                      </w:rPr>
                      <w:t>201</w:t>
                    </w:r>
                    <w:r w:rsidR="00047D84">
                      <w:rPr>
                        <w:rFonts w:ascii="Calibri" w:hAnsi="Calibri"/>
                        <w:color w:val="58595B"/>
                      </w:rPr>
                      <w:t>8</w:t>
                    </w:r>
                  </w:p>
                  <w:p w:rsidR="00740BAB" w:rsidRDefault="00740BAB"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AB" w:rsidRDefault="00740BAB" w:rsidP="00A52133">
    <w:pPr>
      <w:spacing w:line="14" w:lineRule="auto"/>
      <w:rPr>
        <w:sz w:val="20"/>
        <w:szCs w:val="20"/>
      </w:rPr>
    </w:pPr>
  </w:p>
  <w:p w:rsidR="00740BAB" w:rsidRPr="00A52133" w:rsidRDefault="00740BAB"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447674</wp:posOffset>
              </wp:positionH>
              <wp:positionV relativeFrom="page">
                <wp:posOffset>10106025</wp:posOffset>
              </wp:positionV>
              <wp:extent cx="4181475" cy="146685"/>
              <wp:effectExtent l="0" t="0" r="9525"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66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40BAB" w:rsidRDefault="00740BAB"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5.25pt;margin-top:795.75pt;width:329.25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" filled="f" stroked="f">
              <v:textbox inset="0,0,0,0">
                <w:txbxContent>
                  <w:p w:rsidR="00EF492A" w:rsidRDefault="00EF492A"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89728F">
                      <w:rPr>
                        <w:rFonts w:ascii="Calibri" w:hAnsi="Calibri"/>
                        <w:color w:val="58595B"/>
                      </w:rPr>
                      <w:t>Sept</w:t>
                    </w:r>
                    <w:r w:rsidR="00184FE1">
                      <w:rPr>
                        <w:rFonts w:ascii="Calibri" w:hAnsi="Calibri"/>
                        <w:color w:val="58595B"/>
                      </w:rPr>
                      <w:t>ember</w:t>
                    </w:r>
                    <w:r w:rsidR="0089728F">
                      <w:rPr>
                        <w:rFonts w:ascii="Calibri" w:hAnsi="Calibri"/>
                        <w:color w:val="58595B"/>
                      </w:rPr>
                      <w:t xml:space="preserve"> 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40BAB" w:rsidRDefault="00740BAB"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EF492A" w:rsidRDefault="00EF492A"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40BAB" w:rsidRDefault="00740BAB"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EF492A" w:rsidRDefault="00EF492A"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AB" w:rsidRDefault="00740BAB" w:rsidP="00587EDC">
      <w:r>
        <w:separator/>
      </w:r>
    </w:p>
  </w:footnote>
  <w:footnote w:type="continuationSeparator" w:id="0">
    <w:p w:rsidR="00740BAB" w:rsidRDefault="00740BAB"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AB" w:rsidRDefault="00740BAB" w:rsidP="00EF492A">
    <w:pPr>
      <w:pStyle w:val="Header"/>
      <w:ind w:left="426"/>
    </w:pPr>
  </w:p>
  <w:p w:rsidR="00740BAB" w:rsidRDefault="0074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AB" w:rsidRDefault="00740BAB"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0CA"/>
    <w:multiLevelType w:val="hybridMultilevel"/>
    <w:tmpl w:val="2DD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746F0"/>
    <w:multiLevelType w:val="hybridMultilevel"/>
    <w:tmpl w:val="4A8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D0770"/>
    <w:multiLevelType w:val="hybridMultilevel"/>
    <w:tmpl w:val="701E9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D7320"/>
    <w:multiLevelType w:val="hybridMultilevel"/>
    <w:tmpl w:val="BFB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05E23"/>
    <w:rsid w:val="00014903"/>
    <w:rsid w:val="00047D84"/>
    <w:rsid w:val="00055294"/>
    <w:rsid w:val="000B2E2C"/>
    <w:rsid w:val="00116CA5"/>
    <w:rsid w:val="00125558"/>
    <w:rsid w:val="00132E22"/>
    <w:rsid w:val="00147324"/>
    <w:rsid w:val="00184FE1"/>
    <w:rsid w:val="001B7280"/>
    <w:rsid w:val="001D3F1D"/>
    <w:rsid w:val="00201137"/>
    <w:rsid w:val="002515FB"/>
    <w:rsid w:val="002C49B1"/>
    <w:rsid w:val="00427459"/>
    <w:rsid w:val="004C3CA2"/>
    <w:rsid w:val="0055644D"/>
    <w:rsid w:val="0056462D"/>
    <w:rsid w:val="00587EDC"/>
    <w:rsid w:val="00595274"/>
    <w:rsid w:val="00597D54"/>
    <w:rsid w:val="00601699"/>
    <w:rsid w:val="00605447"/>
    <w:rsid w:val="0061695D"/>
    <w:rsid w:val="006C4705"/>
    <w:rsid w:val="00740BAB"/>
    <w:rsid w:val="00747E4E"/>
    <w:rsid w:val="0076468F"/>
    <w:rsid w:val="0089728F"/>
    <w:rsid w:val="00A45716"/>
    <w:rsid w:val="00A52133"/>
    <w:rsid w:val="00A925D7"/>
    <w:rsid w:val="00AA7BFE"/>
    <w:rsid w:val="00AD7469"/>
    <w:rsid w:val="00AD7E46"/>
    <w:rsid w:val="00B2428A"/>
    <w:rsid w:val="00B60966"/>
    <w:rsid w:val="00C10954"/>
    <w:rsid w:val="00C655B3"/>
    <w:rsid w:val="00D9110E"/>
    <w:rsid w:val="00D94AD9"/>
    <w:rsid w:val="00DC0C38"/>
    <w:rsid w:val="00E36EC9"/>
    <w:rsid w:val="00E50C5B"/>
    <w:rsid w:val="00EA3B98"/>
    <w:rsid w:val="00EA6018"/>
    <w:rsid w:val="00EF492A"/>
    <w:rsid w:val="00FC555D"/>
    <w:rsid w:val="00F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8AEDC7C-2FF3-4EB3-9358-05B3A78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customStyle="1" w:styleId="tgc">
    <w:name w:val="_tgc"/>
    <w:basedOn w:val="DefaultParagraphFont"/>
    <w:rsid w:val="001B7280"/>
  </w:style>
  <w:style w:type="character" w:styleId="Hyperlink">
    <w:name w:val="Hyperlink"/>
    <w:basedOn w:val="DefaultParagraphFont"/>
    <w:uiPriority w:val="99"/>
    <w:unhideWhenUsed/>
    <w:rsid w:val="0074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A648-A1F3-4368-A240-EA5435F3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Jo Ellis</cp:lastModifiedBy>
  <cp:revision>2</cp:revision>
  <cp:lastPrinted>2015-07-13T08:46:00Z</cp:lastPrinted>
  <dcterms:created xsi:type="dcterms:W3CDTF">2018-01-15T15:59:00Z</dcterms:created>
  <dcterms:modified xsi:type="dcterms:W3CDTF">2018-01-15T15:59:00Z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