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AD" w:rsidRDefault="00942DAD" w:rsidP="00942DAD">
      <w:pPr>
        <w:pStyle w:val="ydp27e880beyiv7211945953xxmsonormal"/>
        <w:jc w:val="center"/>
        <w:rPr>
          <w:rFonts w:ascii="Arial" w:hAnsi="Arial" w:cs="Arial"/>
          <w:b/>
          <w:bCs/>
          <w:color w:val="26282A"/>
          <w:sz w:val="20"/>
          <w:szCs w:val="20"/>
        </w:rPr>
      </w:pPr>
      <w:r>
        <w:rPr>
          <w:rFonts w:ascii="Arial" w:hAnsi="Arial" w:cs="Arial"/>
          <w:b/>
          <w:bCs/>
          <w:color w:val="1F497D"/>
          <w:sz w:val="20"/>
          <w:szCs w:val="20"/>
        </w:rPr>
        <w:t>T</w:t>
      </w:r>
      <w:r>
        <w:rPr>
          <w:rFonts w:ascii="Arial" w:hAnsi="Arial" w:cs="Arial"/>
          <w:b/>
          <w:bCs/>
          <w:color w:val="26282A"/>
          <w:sz w:val="20"/>
          <w:szCs w:val="20"/>
        </w:rPr>
        <w:t xml:space="preserve">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t>
      </w:r>
      <w:r>
        <w:rPr>
          <w:rFonts w:ascii="Arial" w:hAnsi="Arial" w:cs="Arial"/>
          <w:b/>
          <w:bCs/>
          <w:sz w:val="20"/>
          <w:szCs w:val="20"/>
        </w:rPr>
        <w:t xml:space="preserve">welfare rights advisors monthly information exchange, it is sent to around 200 individuals and organisations with an interest in welfare rights in Tower Hamlets.  It is available to view (including past information exchanges) on the </w:t>
      </w:r>
      <w:hyperlink r:id="rId5" w:history="1">
        <w:r>
          <w:rPr>
            <w:rStyle w:val="Hyperlink"/>
            <w:rFonts w:ascii="Arial" w:hAnsi="Arial" w:cs="Arial"/>
            <w:b/>
            <w:bCs/>
            <w:color w:val="auto"/>
            <w:sz w:val="20"/>
            <w:szCs w:val="20"/>
          </w:rPr>
          <w:t>www.thcan.org.uk</w:t>
        </w:r>
      </w:hyperlink>
      <w:r>
        <w:rPr>
          <w:rFonts w:ascii="Arial" w:hAnsi="Arial" w:cs="Arial"/>
          <w:b/>
          <w:bCs/>
          <w:sz w:val="20"/>
          <w:szCs w:val="20"/>
        </w:rPr>
        <w:t xml:space="preserve">  Up-to-date information on advice providers services, factsheets and opening times are also available on the website –feel free to send me information / updates on advice services to </w:t>
      </w:r>
      <w:r>
        <w:rPr>
          <w:rFonts w:ascii="Arial" w:hAnsi="Arial" w:cs="Arial"/>
          <w:b/>
          <w:bCs/>
          <w:sz w:val="20"/>
          <w:szCs w:val="20"/>
        </w:rPr>
        <w:t>include</w:t>
      </w:r>
      <w:r>
        <w:rPr>
          <w:rFonts w:ascii="Arial" w:hAnsi="Arial" w:cs="Arial"/>
          <w:b/>
          <w:bCs/>
          <w:sz w:val="20"/>
          <w:szCs w:val="20"/>
        </w:rPr>
        <w:t xml:space="preserve"> on this</w:t>
      </w:r>
    </w:p>
    <w:p w:rsidR="00942DAD" w:rsidRDefault="00942DAD" w:rsidP="00942DAD">
      <w:pPr>
        <w:pStyle w:val="NoSpacing"/>
        <w:rPr>
          <w:rFonts w:ascii="Calibri" w:hAnsi="Calibri"/>
          <w:b/>
          <w:bCs/>
          <w:color w:val="1F497D"/>
          <w:sz w:val="22"/>
          <w:szCs w:val="22"/>
          <w:u w:val="single"/>
        </w:rPr>
      </w:pPr>
    </w:p>
    <w:p w:rsidR="00942DAD" w:rsidRDefault="00942DAD" w:rsidP="00942DAD">
      <w:pPr>
        <w:pStyle w:val="NoSpacing"/>
        <w:rPr>
          <w:color w:val="FF0000"/>
          <w:sz w:val="28"/>
          <w:szCs w:val="28"/>
        </w:rPr>
      </w:pPr>
      <w:r>
        <w:rPr>
          <w:b/>
          <w:bCs/>
          <w:color w:val="FF0000"/>
          <w:sz w:val="28"/>
          <w:szCs w:val="28"/>
          <w:u w:val="single"/>
        </w:rPr>
        <w:t>Welfare Rights Advisors Forum (combined Welfare Rights Advisors and Debt Advisors forum)</w:t>
      </w:r>
    </w:p>
    <w:p w:rsidR="00942DAD" w:rsidRDefault="00942DAD" w:rsidP="00942DAD">
      <w:pPr>
        <w:pStyle w:val="NoSpacing"/>
      </w:pPr>
    </w:p>
    <w:p w:rsidR="00942DAD" w:rsidRDefault="00942DAD" w:rsidP="00942DAD">
      <w:pPr>
        <w:pStyle w:val="NoSpacing"/>
        <w:rPr>
          <w:lang w:val="en-US" w:eastAsia="en-GB"/>
        </w:rPr>
      </w:pPr>
      <w:r>
        <w:rPr>
          <w:b/>
          <w:bCs/>
          <w:u w:val="single"/>
        </w:rPr>
        <w:t>Next meeting will be Thursday 30</w:t>
      </w:r>
      <w:r>
        <w:rPr>
          <w:b/>
          <w:bCs/>
          <w:u w:val="single"/>
          <w:vertAlign w:val="superscript"/>
        </w:rPr>
        <w:t>th</w:t>
      </w:r>
      <w:r>
        <w:rPr>
          <w:b/>
          <w:bCs/>
          <w:u w:val="single"/>
        </w:rPr>
        <w:t xml:space="preserve"> January 2020 (anyone got a venue we can use 20 people plus </w:t>
      </w:r>
      <w:proofErr w:type="spellStart"/>
      <w:r>
        <w:rPr>
          <w:b/>
          <w:bCs/>
          <w:u w:val="single"/>
        </w:rPr>
        <w:t>wifi</w:t>
      </w:r>
      <w:proofErr w:type="spellEnd"/>
      <w:r>
        <w:rPr>
          <w:b/>
          <w:bCs/>
          <w:u w:val="single"/>
        </w:rPr>
        <w:t xml:space="preserve"> and power </w:t>
      </w:r>
      <w:r w:rsidR="001478E9">
        <w:rPr>
          <w:b/>
          <w:bCs/>
          <w:u w:val="single"/>
        </w:rPr>
        <w:t>point???</w:t>
      </w:r>
      <w:r>
        <w:rPr>
          <w:b/>
          <w:bCs/>
          <w:u w:val="single"/>
        </w:rPr>
        <w:t xml:space="preserve"> let me know)</w:t>
      </w:r>
    </w:p>
    <w:p w:rsidR="00942DAD" w:rsidRDefault="00942DAD" w:rsidP="00942DAD">
      <w:pPr>
        <w:pStyle w:val="ListParagraph"/>
        <w:spacing w:after="0" w:line="240" w:lineRule="auto"/>
        <w:rPr>
          <w:lang w:val="en-US" w:eastAsia="en-GB"/>
        </w:rPr>
      </w:pPr>
    </w:p>
    <w:p w:rsidR="00942DAD" w:rsidRDefault="00942DAD" w:rsidP="00942DAD">
      <w:pPr>
        <w:spacing w:after="0" w:line="240" w:lineRule="auto"/>
        <w:rPr>
          <w:b/>
          <w:bCs/>
          <w:lang w:val="en-US" w:eastAsia="en-GB"/>
        </w:rPr>
      </w:pPr>
      <w:r>
        <w:rPr>
          <w:b/>
          <w:bCs/>
          <w:lang w:val="en-US" w:eastAsia="en-GB"/>
        </w:rPr>
        <w:t>Agenda Items</w:t>
      </w:r>
    </w:p>
    <w:p w:rsidR="00942DAD" w:rsidRDefault="00942DAD" w:rsidP="00942DAD">
      <w:pPr>
        <w:rPr>
          <w:lang w:val="en-US" w:eastAsia="en-GB"/>
        </w:rPr>
      </w:pPr>
    </w:p>
    <w:p w:rsidR="00942DAD" w:rsidRDefault="00942DAD" w:rsidP="00942DAD">
      <w:pPr>
        <w:pStyle w:val="ListParagraph"/>
        <w:numPr>
          <w:ilvl w:val="0"/>
          <w:numId w:val="1"/>
        </w:numPr>
      </w:pPr>
      <w:r>
        <w:t xml:space="preserve">Digital Access for </w:t>
      </w:r>
      <w:bookmarkStart w:id="0" w:name="_GoBack"/>
      <w:bookmarkEnd w:id="0"/>
      <w:r w:rsidR="001478E9">
        <w:t>LBTH forms</w:t>
      </w:r>
      <w:r>
        <w:t xml:space="preserve"> and account.  Demonstration and feedback </w:t>
      </w:r>
    </w:p>
    <w:p w:rsidR="00942DAD" w:rsidRDefault="00942DAD" w:rsidP="00942DAD">
      <w:pPr>
        <w:pStyle w:val="ListParagraph"/>
        <w:numPr>
          <w:ilvl w:val="0"/>
          <w:numId w:val="1"/>
        </w:numPr>
      </w:pPr>
      <w:r>
        <w:t>Please advise if any other issues / training or information requirements</w:t>
      </w:r>
    </w:p>
    <w:p w:rsidR="00942DAD" w:rsidRDefault="00942DAD" w:rsidP="00942DAD">
      <w:pPr>
        <w:pStyle w:val="NoSpacing"/>
        <w:rPr>
          <w:color w:val="1F497D"/>
          <w:u w:val="single"/>
        </w:rPr>
      </w:pPr>
    </w:p>
    <w:p w:rsidR="00942DAD" w:rsidRDefault="00942DAD" w:rsidP="00942DAD">
      <w:pPr>
        <w:pStyle w:val="NoSpacing"/>
        <w:rPr>
          <w:color w:val="1F497D"/>
          <w:u w:val="single"/>
        </w:rPr>
      </w:pPr>
    </w:p>
    <w:p w:rsidR="00942DAD" w:rsidRDefault="00942DAD" w:rsidP="00942DAD">
      <w:pPr>
        <w:pStyle w:val="NoSpacing"/>
      </w:pPr>
      <w:r>
        <w:rPr>
          <w:b/>
          <w:bCs/>
          <w:color w:val="FF0000"/>
          <w:sz w:val="28"/>
          <w:szCs w:val="28"/>
          <w:u w:val="single"/>
        </w:rPr>
        <w:t>Free Training Sessions</w:t>
      </w:r>
      <w:r>
        <w:rPr>
          <w:color w:val="FF0000"/>
          <w:sz w:val="28"/>
          <w:szCs w:val="28"/>
        </w:rPr>
        <w:t xml:space="preserve">  </w:t>
      </w:r>
      <w:r>
        <w:rPr>
          <w:color w:val="1F497D"/>
          <w:sz w:val="28"/>
          <w:szCs w:val="28"/>
        </w:rPr>
        <w:t>  </w:t>
      </w:r>
      <w:r>
        <w:t>LBTH organisations / volunteers  or paid workers Email:   </w:t>
      </w:r>
      <w:hyperlink r:id="rId6" w:history="1">
        <w:r>
          <w:rPr>
            <w:rStyle w:val="Hyperlink"/>
            <w:color w:val="auto"/>
            <w:u w:val="none"/>
          </w:rPr>
          <w:t>jo.ellis@island-advice.org.uk</w:t>
        </w:r>
      </w:hyperlink>
      <w:r>
        <w:t xml:space="preserve"> to request a place    </w:t>
      </w:r>
    </w:p>
    <w:p w:rsidR="00942DAD" w:rsidRDefault="00942DAD" w:rsidP="00942DAD">
      <w:pPr>
        <w:rPr>
          <w:rFonts w:ascii="Calibri" w:hAnsi="Calibri"/>
          <w:color w:val="1F497D"/>
          <w:sz w:val="22"/>
          <w:szCs w:val="22"/>
        </w:rPr>
      </w:pPr>
    </w:p>
    <w:tbl>
      <w:tblPr>
        <w:tblW w:w="0" w:type="dxa"/>
        <w:tblInd w:w="93" w:type="dxa"/>
        <w:tblCellMar>
          <w:left w:w="0" w:type="dxa"/>
          <w:right w:w="0" w:type="dxa"/>
        </w:tblCellMar>
        <w:tblLook w:val="04A0" w:firstRow="1" w:lastRow="0" w:firstColumn="1" w:lastColumn="0" w:noHBand="0" w:noVBand="1"/>
      </w:tblPr>
      <w:tblGrid>
        <w:gridCol w:w="1913"/>
        <w:gridCol w:w="3886"/>
        <w:gridCol w:w="1442"/>
        <w:gridCol w:w="1672"/>
      </w:tblGrid>
      <w:tr w:rsidR="00942DAD" w:rsidTr="00942DAD">
        <w:trPr>
          <w:trHeight w:val="1"/>
        </w:trPr>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2DAD" w:rsidRDefault="00942DAD">
            <w:pPr>
              <w:spacing w:after="0" w:line="240" w:lineRule="auto"/>
              <w:rPr>
                <w:b/>
                <w:bCs/>
                <w:sz w:val="22"/>
                <w:szCs w:val="22"/>
                <w:lang w:eastAsia="en-GB"/>
              </w:rPr>
            </w:pPr>
            <w:r>
              <w:rPr>
                <w:b/>
                <w:bCs/>
              </w:rPr>
              <w:t xml:space="preserve">Housing Costs </w:t>
            </w:r>
          </w:p>
          <w:p w:rsidR="00942DAD" w:rsidRDefault="00942DAD">
            <w:pPr>
              <w:spacing w:after="0" w:line="240" w:lineRule="auto"/>
            </w:pPr>
            <w:r>
              <w:t>22</w:t>
            </w:r>
            <w:r>
              <w:rPr>
                <w:vertAlign w:val="superscript"/>
              </w:rPr>
              <w:t>nd</w:t>
            </w:r>
            <w:r>
              <w:t xml:space="preserve"> January 2020</w:t>
            </w:r>
          </w:p>
          <w:p w:rsidR="00942DAD" w:rsidRDefault="00942DAD">
            <w:pPr>
              <w:spacing w:after="0" w:line="240" w:lineRule="auto"/>
            </w:pPr>
            <w:r>
              <w:t>2-4pm</w:t>
            </w:r>
          </w:p>
          <w:p w:rsidR="00942DAD" w:rsidRDefault="00942DAD">
            <w:pPr>
              <w:spacing w:after="0" w:line="240" w:lineRule="auto"/>
              <w:rPr>
                <w:b/>
                <w:bCs/>
              </w:rPr>
            </w:pPr>
          </w:p>
        </w:tc>
        <w:tc>
          <w:tcPr>
            <w:tcW w:w="102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42DAD" w:rsidRDefault="00942DAD" w:rsidP="00085655">
            <w:pPr>
              <w:numPr>
                <w:ilvl w:val="0"/>
                <w:numId w:val="2"/>
              </w:numPr>
              <w:spacing w:after="0" w:line="240" w:lineRule="auto"/>
              <w:ind w:left="360" w:hanging="360"/>
            </w:pPr>
            <w:r>
              <w:rPr>
                <w:shd w:val="clear" w:color="auto" w:fill="FFFFFF"/>
              </w:rPr>
              <w:t>Renting and Homeowners entitlement to help with housing costs (HB/legacy benefits and Housing Element of UC)</w:t>
            </w:r>
          </w:p>
          <w:p w:rsidR="00942DAD" w:rsidRDefault="00942DAD" w:rsidP="00085655">
            <w:pPr>
              <w:numPr>
                <w:ilvl w:val="0"/>
                <w:numId w:val="2"/>
              </w:numPr>
              <w:spacing w:after="0" w:line="240" w:lineRule="auto"/>
              <w:ind w:left="360" w:hanging="360"/>
              <w:rPr>
                <w:shd w:val="clear" w:color="auto" w:fill="FFFFFF"/>
              </w:rPr>
            </w:pPr>
            <w:r>
              <w:rPr>
                <w:shd w:val="clear" w:color="auto" w:fill="FFFFFF"/>
              </w:rPr>
              <w:t>Non-dependent deductions</w:t>
            </w:r>
          </w:p>
          <w:p w:rsidR="00942DAD" w:rsidRDefault="00942DAD" w:rsidP="00085655">
            <w:pPr>
              <w:numPr>
                <w:ilvl w:val="0"/>
                <w:numId w:val="2"/>
              </w:numPr>
              <w:spacing w:after="0" w:line="240" w:lineRule="auto"/>
              <w:ind w:left="360" w:hanging="360"/>
            </w:pPr>
            <w:r>
              <w:rPr>
                <w:shd w:val="clear" w:color="auto" w:fill="FFFFFF"/>
              </w:rPr>
              <w:t>Bedroom tax</w:t>
            </w:r>
          </w:p>
          <w:p w:rsidR="00942DAD" w:rsidRDefault="00942DAD">
            <w:pPr>
              <w:spacing w:after="0" w:line="240" w:lineRule="auto"/>
            </w:pPr>
            <w:r>
              <w:rPr>
                <w:b/>
                <w:bCs/>
                <w:u w:val="single"/>
                <w:shd w:val="clear" w:color="auto" w:fill="FFFFFF"/>
              </w:rPr>
              <w:t>Suitable for</w:t>
            </w:r>
            <w:r>
              <w:rPr>
                <w:shd w:val="clear" w:color="auto" w:fill="FFFFFF"/>
              </w:rPr>
              <w:t xml:space="preserve"> Basic course no knowledge assumed</w:t>
            </w:r>
          </w:p>
        </w:tc>
        <w:tc>
          <w:tcPr>
            <w:tcW w:w="28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42DAD" w:rsidRDefault="00942DAD">
            <w:pPr>
              <w:spacing w:after="0" w:line="240" w:lineRule="auto"/>
            </w:pPr>
            <w:r>
              <w:t>Island Advice</w:t>
            </w:r>
          </w:p>
          <w:p w:rsidR="00942DAD" w:rsidRDefault="00942DAD">
            <w:pPr>
              <w:spacing w:after="0" w:line="240" w:lineRule="auto"/>
            </w:pPr>
            <w:r>
              <w:t>Island House</w:t>
            </w:r>
          </w:p>
          <w:p w:rsidR="00942DAD" w:rsidRDefault="00942DAD">
            <w:pPr>
              <w:spacing w:after="0" w:line="240" w:lineRule="auto"/>
            </w:pPr>
            <w:proofErr w:type="spellStart"/>
            <w:r>
              <w:t>Roserton</w:t>
            </w:r>
            <w:proofErr w:type="spellEnd"/>
            <w:r>
              <w:t xml:space="preserve"> Street</w:t>
            </w:r>
          </w:p>
          <w:p w:rsidR="00942DAD" w:rsidRDefault="00942DAD">
            <w:pPr>
              <w:spacing w:after="0" w:line="240" w:lineRule="auto"/>
            </w:pPr>
            <w:r>
              <w:t>E14 3PG</w:t>
            </w:r>
          </w:p>
        </w:tc>
        <w:tc>
          <w:tcPr>
            <w:tcW w:w="42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42DAD" w:rsidRDefault="00942DAD">
            <w:pPr>
              <w:spacing w:after="0" w:line="240" w:lineRule="auto"/>
            </w:pPr>
            <w:r>
              <w:t>Jo Ellis</w:t>
            </w:r>
          </w:p>
          <w:p w:rsidR="00942DAD" w:rsidRDefault="00942DAD">
            <w:pPr>
              <w:spacing w:after="0" w:line="240" w:lineRule="auto"/>
            </w:pPr>
            <w:r>
              <w:t>Trainer</w:t>
            </w:r>
          </w:p>
          <w:p w:rsidR="00942DAD" w:rsidRDefault="00942DAD">
            <w:pPr>
              <w:spacing w:after="0" w:line="240" w:lineRule="auto"/>
            </w:pPr>
          </w:p>
        </w:tc>
      </w:tr>
      <w:tr w:rsidR="00942DAD" w:rsidTr="00942DAD">
        <w:trPr>
          <w:trHeight w:val="1"/>
        </w:trPr>
        <w:tc>
          <w:tcPr>
            <w:tcW w:w="22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2DAD" w:rsidRDefault="00942DAD">
            <w:pPr>
              <w:pStyle w:val="xxmsonormal"/>
              <w:spacing w:line="276" w:lineRule="auto"/>
              <w:rPr>
                <w:rFonts w:ascii="Arial" w:hAnsi="Arial" w:cs="Arial"/>
                <w:b/>
                <w:bCs/>
                <w:sz w:val="24"/>
                <w:szCs w:val="24"/>
              </w:rPr>
            </w:pPr>
            <w:r>
              <w:rPr>
                <w:rFonts w:ascii="Arial" w:hAnsi="Arial" w:cs="Arial"/>
                <w:b/>
                <w:bCs/>
                <w:sz w:val="24"/>
                <w:szCs w:val="24"/>
              </w:rPr>
              <w:t>Benefit overpayments and Recovery</w:t>
            </w:r>
          </w:p>
          <w:p w:rsidR="00942DAD" w:rsidRDefault="00942DAD">
            <w:pPr>
              <w:pStyle w:val="xxmsonormal"/>
              <w:spacing w:line="276" w:lineRule="auto"/>
              <w:rPr>
                <w:rFonts w:ascii="Arial" w:hAnsi="Arial" w:cs="Arial"/>
                <w:sz w:val="24"/>
                <w:szCs w:val="24"/>
              </w:rPr>
            </w:pPr>
            <w:r>
              <w:rPr>
                <w:rFonts w:ascii="Arial" w:hAnsi="Arial" w:cs="Arial"/>
                <w:sz w:val="24"/>
                <w:szCs w:val="24"/>
              </w:rPr>
              <w:t>13</w:t>
            </w:r>
            <w:r>
              <w:rPr>
                <w:rFonts w:ascii="Arial" w:hAnsi="Arial" w:cs="Arial"/>
                <w:sz w:val="24"/>
                <w:szCs w:val="24"/>
                <w:vertAlign w:val="superscript"/>
              </w:rPr>
              <w:t>th</w:t>
            </w:r>
            <w:r>
              <w:rPr>
                <w:rFonts w:ascii="Arial" w:hAnsi="Arial" w:cs="Arial"/>
                <w:sz w:val="24"/>
                <w:szCs w:val="24"/>
              </w:rPr>
              <w:t xml:space="preserve"> February 2020</w:t>
            </w:r>
          </w:p>
          <w:p w:rsidR="00942DAD" w:rsidRDefault="00942DAD">
            <w:pPr>
              <w:pStyle w:val="xxmsonormal"/>
              <w:spacing w:line="276" w:lineRule="auto"/>
              <w:rPr>
                <w:rFonts w:ascii="Arial" w:hAnsi="Arial" w:cs="Arial"/>
                <w:sz w:val="24"/>
                <w:szCs w:val="24"/>
              </w:rPr>
            </w:pPr>
            <w:r>
              <w:rPr>
                <w:rFonts w:ascii="Arial" w:hAnsi="Arial" w:cs="Arial"/>
                <w:sz w:val="24"/>
                <w:szCs w:val="24"/>
              </w:rPr>
              <w:t xml:space="preserve">10-12 </w:t>
            </w:r>
          </w:p>
        </w:tc>
        <w:tc>
          <w:tcPr>
            <w:tcW w:w="10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2DAD" w:rsidRDefault="00942DAD" w:rsidP="00085655">
            <w:pPr>
              <w:pStyle w:val="xxmsonormal"/>
              <w:numPr>
                <w:ilvl w:val="0"/>
                <w:numId w:val="3"/>
              </w:numPr>
              <w:spacing w:line="276" w:lineRule="auto"/>
              <w:rPr>
                <w:rFonts w:ascii="Arial" w:hAnsi="Arial" w:cs="Arial"/>
                <w:sz w:val="24"/>
                <w:szCs w:val="24"/>
              </w:rPr>
            </w:pPr>
            <w:r>
              <w:rPr>
                <w:rFonts w:ascii="Arial" w:hAnsi="Arial" w:cs="Arial"/>
                <w:sz w:val="24"/>
                <w:szCs w:val="24"/>
              </w:rPr>
              <w:t>General information about benefit overpayments</w:t>
            </w:r>
          </w:p>
          <w:p w:rsidR="00942DAD" w:rsidRDefault="00942DAD" w:rsidP="00085655">
            <w:pPr>
              <w:pStyle w:val="xxmsonormal"/>
              <w:numPr>
                <w:ilvl w:val="0"/>
                <w:numId w:val="3"/>
              </w:numPr>
              <w:spacing w:line="276" w:lineRule="auto"/>
              <w:rPr>
                <w:rFonts w:ascii="Arial" w:hAnsi="Arial" w:cs="Arial"/>
                <w:sz w:val="24"/>
                <w:szCs w:val="24"/>
              </w:rPr>
            </w:pPr>
            <w:r>
              <w:rPr>
                <w:rFonts w:ascii="Arial" w:hAnsi="Arial" w:cs="Arial"/>
                <w:sz w:val="24"/>
                <w:szCs w:val="24"/>
              </w:rPr>
              <w:t xml:space="preserve">Which/when can overpayments be challenged </w:t>
            </w:r>
          </w:p>
          <w:p w:rsidR="00942DAD" w:rsidRDefault="00942DAD">
            <w:pPr>
              <w:pStyle w:val="xxmsonormal"/>
              <w:spacing w:line="276" w:lineRule="auto"/>
              <w:rPr>
                <w:rFonts w:ascii="Arial" w:hAnsi="Arial" w:cs="Arial"/>
                <w:sz w:val="24"/>
                <w:szCs w:val="24"/>
              </w:rPr>
            </w:pPr>
            <w:r>
              <w:rPr>
                <w:rFonts w:ascii="Arial" w:hAnsi="Arial" w:cs="Arial"/>
                <w:b/>
                <w:bCs/>
                <w:sz w:val="24"/>
                <w:szCs w:val="24"/>
                <w:u w:val="single"/>
              </w:rPr>
              <w:t>Suitable for</w:t>
            </w:r>
            <w:r>
              <w:rPr>
                <w:rFonts w:ascii="Arial" w:hAnsi="Arial" w:cs="Arial"/>
                <w:sz w:val="24"/>
                <w:szCs w:val="24"/>
              </w:rPr>
              <w:t xml:space="preserve"> experienced advisors and debt workers dealing with clients with overpayments of benefit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2DAD" w:rsidRDefault="00942DAD">
            <w:pPr>
              <w:pStyle w:val="xxmsonormal"/>
              <w:spacing w:line="276" w:lineRule="auto"/>
              <w:rPr>
                <w:rFonts w:ascii="Arial" w:hAnsi="Arial" w:cs="Arial"/>
                <w:sz w:val="24"/>
                <w:szCs w:val="24"/>
              </w:rPr>
            </w:pPr>
            <w:r>
              <w:rPr>
                <w:rFonts w:ascii="Arial" w:hAnsi="Arial" w:cs="Arial"/>
                <w:sz w:val="24"/>
                <w:szCs w:val="24"/>
              </w:rPr>
              <w:t>Island Advice</w:t>
            </w:r>
          </w:p>
          <w:p w:rsidR="00942DAD" w:rsidRDefault="00942DAD">
            <w:pPr>
              <w:pStyle w:val="xxmsonormal"/>
              <w:spacing w:line="276" w:lineRule="auto"/>
              <w:rPr>
                <w:rFonts w:ascii="Arial" w:hAnsi="Arial" w:cs="Arial"/>
                <w:sz w:val="24"/>
                <w:szCs w:val="24"/>
              </w:rPr>
            </w:pPr>
            <w:r>
              <w:rPr>
                <w:rFonts w:ascii="Arial" w:hAnsi="Arial" w:cs="Arial"/>
                <w:sz w:val="24"/>
                <w:szCs w:val="24"/>
              </w:rPr>
              <w:t>Island House</w:t>
            </w:r>
          </w:p>
          <w:p w:rsidR="00942DAD" w:rsidRDefault="00942DAD">
            <w:pPr>
              <w:pStyle w:val="xxmsonormal"/>
              <w:spacing w:line="276" w:lineRule="auto"/>
              <w:rPr>
                <w:rFonts w:ascii="Arial" w:hAnsi="Arial" w:cs="Arial"/>
                <w:sz w:val="24"/>
                <w:szCs w:val="24"/>
              </w:rPr>
            </w:pPr>
            <w:proofErr w:type="spellStart"/>
            <w:r>
              <w:rPr>
                <w:rFonts w:ascii="Arial" w:hAnsi="Arial" w:cs="Arial"/>
                <w:sz w:val="24"/>
                <w:szCs w:val="24"/>
              </w:rPr>
              <w:t>Roserton</w:t>
            </w:r>
            <w:proofErr w:type="spellEnd"/>
            <w:r>
              <w:rPr>
                <w:rFonts w:ascii="Arial" w:hAnsi="Arial" w:cs="Arial"/>
                <w:sz w:val="24"/>
                <w:szCs w:val="24"/>
              </w:rPr>
              <w:t xml:space="preserve"> Street</w:t>
            </w:r>
          </w:p>
          <w:p w:rsidR="00942DAD" w:rsidRDefault="00942DAD">
            <w:pPr>
              <w:pStyle w:val="xxmsonormal"/>
              <w:spacing w:line="276" w:lineRule="auto"/>
              <w:rPr>
                <w:rFonts w:ascii="Arial" w:hAnsi="Arial" w:cs="Arial"/>
                <w:sz w:val="24"/>
                <w:szCs w:val="24"/>
              </w:rPr>
            </w:pPr>
            <w:r>
              <w:rPr>
                <w:rFonts w:ascii="Arial" w:hAnsi="Arial" w:cs="Arial"/>
                <w:sz w:val="24"/>
                <w:szCs w:val="24"/>
              </w:rPr>
              <w:t>E14 3PG</w:t>
            </w:r>
          </w:p>
        </w:tc>
        <w:tc>
          <w:tcPr>
            <w:tcW w:w="4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42DAD" w:rsidRDefault="00942DAD">
            <w:pPr>
              <w:pStyle w:val="xxmsonormal"/>
              <w:spacing w:line="276" w:lineRule="auto"/>
              <w:rPr>
                <w:rFonts w:ascii="Arial" w:hAnsi="Arial" w:cs="Arial"/>
                <w:sz w:val="24"/>
                <w:szCs w:val="24"/>
              </w:rPr>
            </w:pPr>
            <w:r>
              <w:rPr>
                <w:rFonts w:ascii="Arial" w:hAnsi="Arial" w:cs="Arial"/>
                <w:sz w:val="24"/>
                <w:szCs w:val="24"/>
              </w:rPr>
              <w:t xml:space="preserve">Fatima Begum </w:t>
            </w:r>
          </w:p>
          <w:p w:rsidR="00942DAD" w:rsidRDefault="00942DAD">
            <w:pPr>
              <w:pStyle w:val="xxmsonormal"/>
              <w:spacing w:line="276" w:lineRule="auto"/>
              <w:rPr>
                <w:rFonts w:ascii="Arial" w:hAnsi="Arial" w:cs="Arial"/>
                <w:sz w:val="24"/>
                <w:szCs w:val="24"/>
              </w:rPr>
            </w:pPr>
            <w:r>
              <w:rPr>
                <w:rFonts w:ascii="Arial" w:hAnsi="Arial" w:cs="Arial"/>
                <w:sz w:val="24"/>
                <w:szCs w:val="24"/>
              </w:rPr>
              <w:t>Benefits specialist</w:t>
            </w:r>
          </w:p>
          <w:p w:rsidR="00942DAD" w:rsidRDefault="00942DAD">
            <w:pPr>
              <w:pStyle w:val="xxmsonormal"/>
              <w:spacing w:line="276" w:lineRule="auto"/>
              <w:rPr>
                <w:rFonts w:ascii="Arial" w:hAnsi="Arial" w:cs="Arial"/>
                <w:sz w:val="24"/>
                <w:szCs w:val="24"/>
              </w:rPr>
            </w:pPr>
          </w:p>
          <w:p w:rsidR="00942DAD" w:rsidRDefault="00942DAD">
            <w:pPr>
              <w:pStyle w:val="xxmsonormal"/>
              <w:spacing w:line="276" w:lineRule="auto"/>
              <w:rPr>
                <w:rFonts w:ascii="Arial" w:hAnsi="Arial" w:cs="Arial"/>
                <w:sz w:val="24"/>
                <w:szCs w:val="24"/>
              </w:rPr>
            </w:pPr>
          </w:p>
        </w:tc>
      </w:tr>
      <w:tr w:rsidR="00942DAD" w:rsidTr="00942DAD">
        <w:trPr>
          <w:trHeight w:val="1"/>
        </w:trPr>
        <w:tc>
          <w:tcPr>
            <w:tcW w:w="22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2DAD" w:rsidRDefault="00942DAD">
            <w:pPr>
              <w:spacing w:after="0" w:line="240" w:lineRule="auto"/>
              <w:rPr>
                <w:b/>
                <w:bCs/>
              </w:rPr>
            </w:pPr>
            <w:r>
              <w:rPr>
                <w:b/>
                <w:bCs/>
              </w:rPr>
              <w:t>Benefit Overpayment DEBTS</w:t>
            </w:r>
          </w:p>
          <w:p w:rsidR="00942DAD" w:rsidRDefault="00942DAD">
            <w:pPr>
              <w:pStyle w:val="xxmsonormal"/>
              <w:spacing w:line="276" w:lineRule="auto"/>
              <w:rPr>
                <w:rFonts w:ascii="Arial" w:hAnsi="Arial" w:cs="Arial"/>
                <w:sz w:val="24"/>
                <w:szCs w:val="24"/>
              </w:rPr>
            </w:pPr>
            <w:r>
              <w:rPr>
                <w:rFonts w:ascii="Arial" w:hAnsi="Arial" w:cs="Arial"/>
                <w:sz w:val="24"/>
                <w:szCs w:val="24"/>
              </w:rPr>
              <w:t>13</w:t>
            </w:r>
            <w:r>
              <w:rPr>
                <w:rFonts w:ascii="Arial" w:hAnsi="Arial" w:cs="Arial"/>
                <w:sz w:val="24"/>
                <w:szCs w:val="24"/>
                <w:vertAlign w:val="superscript"/>
              </w:rPr>
              <w:t>th</w:t>
            </w:r>
            <w:r>
              <w:rPr>
                <w:rFonts w:ascii="Arial" w:hAnsi="Arial" w:cs="Arial"/>
                <w:sz w:val="24"/>
                <w:szCs w:val="24"/>
              </w:rPr>
              <w:t xml:space="preserve"> February 2020</w:t>
            </w:r>
          </w:p>
          <w:p w:rsidR="00942DAD" w:rsidRDefault="00942DAD">
            <w:pPr>
              <w:spacing w:after="0" w:line="240" w:lineRule="auto"/>
              <w:rPr>
                <w:b/>
                <w:bCs/>
              </w:rPr>
            </w:pPr>
            <w:r>
              <w:t>1-3pm</w:t>
            </w:r>
          </w:p>
        </w:tc>
        <w:tc>
          <w:tcPr>
            <w:tcW w:w="10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2DAD" w:rsidRDefault="00942DAD" w:rsidP="00085655">
            <w:pPr>
              <w:pStyle w:val="xxmsonormal"/>
              <w:numPr>
                <w:ilvl w:val="0"/>
                <w:numId w:val="4"/>
              </w:numPr>
              <w:spacing w:line="276" w:lineRule="auto"/>
              <w:ind w:left="720" w:hanging="360"/>
              <w:rPr>
                <w:rFonts w:ascii="Arial" w:hAnsi="Arial" w:cs="Arial"/>
                <w:sz w:val="24"/>
                <w:szCs w:val="24"/>
              </w:rPr>
            </w:pPr>
            <w:r>
              <w:rPr>
                <w:rFonts w:ascii="Arial" w:hAnsi="Arial" w:cs="Arial"/>
                <w:sz w:val="24"/>
                <w:szCs w:val="24"/>
              </w:rPr>
              <w:t>How are overpayments recovered</w:t>
            </w:r>
          </w:p>
          <w:p w:rsidR="00942DAD" w:rsidRDefault="00942DAD" w:rsidP="00085655">
            <w:pPr>
              <w:pStyle w:val="xxmsonormal"/>
              <w:numPr>
                <w:ilvl w:val="0"/>
                <w:numId w:val="4"/>
              </w:numPr>
              <w:spacing w:line="276" w:lineRule="auto"/>
              <w:ind w:left="720" w:hanging="360"/>
              <w:rPr>
                <w:rFonts w:ascii="Arial" w:hAnsi="Arial" w:cs="Arial"/>
                <w:sz w:val="24"/>
                <w:szCs w:val="24"/>
              </w:rPr>
            </w:pPr>
            <w:r>
              <w:rPr>
                <w:rFonts w:ascii="Arial" w:hAnsi="Arial" w:cs="Arial"/>
                <w:sz w:val="24"/>
                <w:szCs w:val="24"/>
              </w:rPr>
              <w:t xml:space="preserve">What debt remedies and options are available for clients who have incurred </w:t>
            </w:r>
            <w:r>
              <w:rPr>
                <w:rFonts w:ascii="Arial" w:hAnsi="Arial" w:cs="Arial"/>
                <w:sz w:val="24"/>
                <w:szCs w:val="24"/>
              </w:rPr>
              <w:lastRenderedPageBreak/>
              <w:t>RECOVERABLE benefit overpayment debts</w:t>
            </w:r>
          </w:p>
          <w:p w:rsidR="00942DAD" w:rsidRDefault="00942DAD">
            <w:pPr>
              <w:spacing w:after="0" w:line="240" w:lineRule="auto"/>
            </w:pPr>
            <w:r>
              <w:rPr>
                <w:b/>
                <w:bCs/>
                <w:u w:val="single"/>
              </w:rPr>
              <w:t>Suitable for</w:t>
            </w:r>
            <w:r>
              <w:t xml:space="preserve"> advisors who come across clients with overpayment related debts </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2DAD" w:rsidRDefault="00942DAD">
            <w:pPr>
              <w:pStyle w:val="xxmsonormal"/>
              <w:spacing w:line="276" w:lineRule="auto"/>
              <w:rPr>
                <w:rFonts w:ascii="Arial" w:hAnsi="Arial" w:cs="Arial"/>
                <w:sz w:val="24"/>
                <w:szCs w:val="24"/>
              </w:rPr>
            </w:pPr>
            <w:r>
              <w:rPr>
                <w:rFonts w:ascii="Arial" w:hAnsi="Arial" w:cs="Arial"/>
                <w:sz w:val="24"/>
                <w:szCs w:val="24"/>
              </w:rPr>
              <w:lastRenderedPageBreak/>
              <w:t>Island Advice</w:t>
            </w:r>
          </w:p>
          <w:p w:rsidR="00942DAD" w:rsidRDefault="00942DAD">
            <w:pPr>
              <w:pStyle w:val="xxmsonormal"/>
              <w:spacing w:line="276" w:lineRule="auto"/>
              <w:rPr>
                <w:rFonts w:ascii="Arial" w:hAnsi="Arial" w:cs="Arial"/>
                <w:sz w:val="24"/>
                <w:szCs w:val="24"/>
              </w:rPr>
            </w:pPr>
            <w:r>
              <w:rPr>
                <w:rFonts w:ascii="Arial" w:hAnsi="Arial" w:cs="Arial"/>
                <w:sz w:val="24"/>
                <w:szCs w:val="24"/>
              </w:rPr>
              <w:t>Island House</w:t>
            </w:r>
          </w:p>
          <w:p w:rsidR="00942DAD" w:rsidRDefault="00942DAD">
            <w:pPr>
              <w:pStyle w:val="xxmsonormal"/>
              <w:spacing w:line="276" w:lineRule="auto"/>
              <w:rPr>
                <w:rFonts w:ascii="Arial" w:hAnsi="Arial" w:cs="Arial"/>
                <w:sz w:val="24"/>
                <w:szCs w:val="24"/>
              </w:rPr>
            </w:pPr>
            <w:proofErr w:type="spellStart"/>
            <w:r>
              <w:rPr>
                <w:rFonts w:ascii="Arial" w:hAnsi="Arial" w:cs="Arial"/>
                <w:sz w:val="24"/>
                <w:szCs w:val="24"/>
              </w:rPr>
              <w:lastRenderedPageBreak/>
              <w:t>Roserton</w:t>
            </w:r>
            <w:proofErr w:type="spellEnd"/>
            <w:r>
              <w:rPr>
                <w:rFonts w:ascii="Arial" w:hAnsi="Arial" w:cs="Arial"/>
                <w:sz w:val="24"/>
                <w:szCs w:val="24"/>
              </w:rPr>
              <w:t xml:space="preserve"> Street</w:t>
            </w:r>
          </w:p>
          <w:p w:rsidR="00942DAD" w:rsidRDefault="00942DAD">
            <w:pPr>
              <w:spacing w:after="0" w:line="240" w:lineRule="auto"/>
            </w:pPr>
            <w:r>
              <w:t>E14 3PG</w:t>
            </w:r>
          </w:p>
        </w:tc>
        <w:tc>
          <w:tcPr>
            <w:tcW w:w="4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42DAD" w:rsidRDefault="00942DAD">
            <w:pPr>
              <w:pStyle w:val="xxmsonormal"/>
              <w:spacing w:line="276" w:lineRule="auto"/>
              <w:rPr>
                <w:rFonts w:ascii="Arial" w:hAnsi="Arial" w:cs="Arial"/>
                <w:sz w:val="24"/>
                <w:szCs w:val="24"/>
              </w:rPr>
            </w:pPr>
            <w:r>
              <w:rPr>
                <w:rFonts w:ascii="Arial" w:hAnsi="Arial" w:cs="Arial"/>
                <w:sz w:val="24"/>
                <w:szCs w:val="24"/>
              </w:rPr>
              <w:lastRenderedPageBreak/>
              <w:t>Sarah Sauvat</w:t>
            </w:r>
          </w:p>
          <w:p w:rsidR="00942DAD" w:rsidRDefault="00942DAD">
            <w:pPr>
              <w:spacing w:after="0" w:line="240" w:lineRule="auto"/>
            </w:pPr>
            <w:r>
              <w:t>Debt specialist</w:t>
            </w:r>
          </w:p>
        </w:tc>
      </w:tr>
    </w:tbl>
    <w:p w:rsidR="00942DAD" w:rsidRDefault="00942DAD" w:rsidP="00942DAD">
      <w:pPr>
        <w:rPr>
          <w:rFonts w:ascii="Calibri" w:hAnsi="Calibri"/>
          <w:color w:val="1F497D"/>
          <w:sz w:val="22"/>
          <w:szCs w:val="22"/>
        </w:rPr>
      </w:pPr>
    </w:p>
    <w:tbl>
      <w:tblPr>
        <w:tblW w:w="11199" w:type="dxa"/>
        <w:tblCellMar>
          <w:left w:w="0" w:type="dxa"/>
          <w:right w:w="0" w:type="dxa"/>
        </w:tblCellMar>
        <w:tblLook w:val="04A0" w:firstRow="1" w:lastRow="0" w:firstColumn="1" w:lastColumn="0" w:noHBand="0" w:noVBand="1"/>
      </w:tblPr>
      <w:tblGrid>
        <w:gridCol w:w="1480"/>
        <w:gridCol w:w="285"/>
        <w:gridCol w:w="8505"/>
        <w:gridCol w:w="929"/>
      </w:tblGrid>
      <w:tr w:rsidR="00942DAD" w:rsidTr="00942DAD">
        <w:trPr>
          <w:trHeight w:val="300"/>
        </w:trPr>
        <w:tc>
          <w:tcPr>
            <w:tcW w:w="1480" w:type="dxa"/>
            <w:noWrap/>
            <w:tcMar>
              <w:top w:w="0" w:type="dxa"/>
              <w:left w:w="108" w:type="dxa"/>
              <w:bottom w:w="0" w:type="dxa"/>
              <w:right w:w="108" w:type="dxa"/>
            </w:tcMar>
            <w:vAlign w:val="bottom"/>
            <w:hideMark/>
          </w:tcPr>
          <w:p w:rsidR="00942DAD" w:rsidRDefault="00942DAD">
            <w:pPr>
              <w:rPr>
                <w:rFonts w:ascii="Calibri" w:hAnsi="Calibri"/>
                <w:color w:val="1F497D"/>
                <w:sz w:val="22"/>
                <w:szCs w:val="22"/>
              </w:rPr>
            </w:pPr>
          </w:p>
        </w:tc>
        <w:tc>
          <w:tcPr>
            <w:tcW w:w="9719" w:type="dxa"/>
            <w:gridSpan w:val="3"/>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2DAD" w:rsidRDefault="00942DAD">
            <w:pPr>
              <w:spacing w:after="0" w:line="240" w:lineRule="auto"/>
              <w:rPr>
                <w:b/>
                <w:bCs/>
                <w:color w:val="000000"/>
                <w:sz w:val="20"/>
                <w:szCs w:val="20"/>
                <w:lang w:eastAsia="en-GB"/>
              </w:rPr>
            </w:pPr>
            <w:r>
              <w:rPr>
                <w:b/>
                <w:bCs/>
                <w:color w:val="000000"/>
                <w:sz w:val="20"/>
                <w:szCs w:val="20"/>
                <w:lang w:eastAsia="en-GB"/>
              </w:rPr>
              <w:t>Debt Unit – Learning to Advise</w:t>
            </w:r>
          </w:p>
        </w:tc>
      </w:tr>
      <w:tr w:rsidR="00942DAD" w:rsidTr="00942DAD">
        <w:trPr>
          <w:trHeight w:val="390"/>
        </w:trPr>
        <w:tc>
          <w:tcPr>
            <w:tcW w:w="1760" w:type="dxa"/>
            <w:gridSpan w:val="2"/>
            <w:noWrap/>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07-Jan</w:t>
            </w:r>
          </w:p>
        </w:tc>
        <w:tc>
          <w:tcPr>
            <w:tcW w:w="8500" w:type="dxa"/>
            <w:noWrap/>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 xml:space="preserve">money management half day </w:t>
            </w:r>
          </w:p>
        </w:tc>
        <w:tc>
          <w:tcPr>
            <w:tcW w:w="945" w:type="dxa"/>
            <w:vAlign w:val="center"/>
            <w:hideMark/>
          </w:tcPr>
          <w:p w:rsidR="00942DAD" w:rsidRDefault="00942DAD">
            <w:r>
              <w:t> </w:t>
            </w:r>
          </w:p>
        </w:tc>
      </w:tr>
      <w:tr w:rsidR="00942DAD" w:rsidTr="00942DAD">
        <w:trPr>
          <w:trHeight w:val="315"/>
        </w:trPr>
        <w:tc>
          <w:tcPr>
            <w:tcW w:w="1760" w:type="dxa"/>
            <w:gridSpan w:val="2"/>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14-Jan</w:t>
            </w:r>
          </w:p>
        </w:tc>
        <w:tc>
          <w:tcPr>
            <w:tcW w:w="8500" w:type="dxa"/>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 xml:space="preserve">Debt day 1 - priority and </w:t>
            </w:r>
            <w:r>
              <w:rPr>
                <w:rFonts w:ascii="Calibri" w:hAnsi="Calibri"/>
                <w:color w:val="000000"/>
                <w:lang w:eastAsia="en-GB"/>
              </w:rPr>
              <w:t>non-priority</w:t>
            </w:r>
            <w:r>
              <w:rPr>
                <w:rFonts w:ascii="Calibri" w:hAnsi="Calibri"/>
                <w:color w:val="000000"/>
                <w:lang w:eastAsia="en-GB"/>
              </w:rPr>
              <w:t xml:space="preserve"> debts</w:t>
            </w:r>
          </w:p>
        </w:tc>
        <w:tc>
          <w:tcPr>
            <w:tcW w:w="945" w:type="dxa"/>
            <w:vAlign w:val="center"/>
            <w:hideMark/>
          </w:tcPr>
          <w:p w:rsidR="00942DAD" w:rsidRDefault="00942DAD">
            <w:r>
              <w:t> </w:t>
            </w:r>
          </w:p>
        </w:tc>
      </w:tr>
      <w:tr w:rsidR="00942DAD" w:rsidTr="00942DAD">
        <w:trPr>
          <w:trHeight w:val="315"/>
        </w:trPr>
        <w:tc>
          <w:tcPr>
            <w:tcW w:w="1760" w:type="dxa"/>
            <w:gridSpan w:val="2"/>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21-Jan</w:t>
            </w:r>
          </w:p>
        </w:tc>
        <w:tc>
          <w:tcPr>
            <w:tcW w:w="8500" w:type="dxa"/>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Debt day 2 - financial statements priority/non priority debts</w:t>
            </w:r>
          </w:p>
        </w:tc>
        <w:tc>
          <w:tcPr>
            <w:tcW w:w="945" w:type="dxa"/>
            <w:vAlign w:val="center"/>
            <w:hideMark/>
          </w:tcPr>
          <w:p w:rsidR="00942DAD" w:rsidRDefault="00942DAD">
            <w:r>
              <w:t> </w:t>
            </w:r>
          </w:p>
        </w:tc>
      </w:tr>
      <w:tr w:rsidR="00942DAD" w:rsidTr="00942DAD">
        <w:trPr>
          <w:trHeight w:val="315"/>
        </w:trPr>
        <w:tc>
          <w:tcPr>
            <w:tcW w:w="1760" w:type="dxa"/>
            <w:gridSpan w:val="2"/>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28-Jan</w:t>
            </w:r>
          </w:p>
        </w:tc>
        <w:tc>
          <w:tcPr>
            <w:tcW w:w="8500" w:type="dxa"/>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 xml:space="preserve">Fuel Debt Advice in the Community 6281-01 L2 </w:t>
            </w:r>
          </w:p>
        </w:tc>
        <w:tc>
          <w:tcPr>
            <w:tcW w:w="945" w:type="dxa"/>
            <w:vAlign w:val="center"/>
            <w:hideMark/>
          </w:tcPr>
          <w:p w:rsidR="00942DAD" w:rsidRDefault="00942DAD">
            <w:r>
              <w:t> </w:t>
            </w:r>
          </w:p>
        </w:tc>
      </w:tr>
      <w:tr w:rsidR="00942DAD" w:rsidTr="00942DAD">
        <w:trPr>
          <w:trHeight w:val="315"/>
        </w:trPr>
        <w:tc>
          <w:tcPr>
            <w:tcW w:w="1760" w:type="dxa"/>
            <w:gridSpan w:val="2"/>
            <w:noWrap/>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04-Feb</w:t>
            </w:r>
          </w:p>
        </w:tc>
        <w:tc>
          <w:tcPr>
            <w:tcW w:w="8500" w:type="dxa"/>
            <w:noWrap/>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Tailoring Advice for Debt</w:t>
            </w:r>
          </w:p>
        </w:tc>
        <w:tc>
          <w:tcPr>
            <w:tcW w:w="945" w:type="dxa"/>
            <w:vAlign w:val="center"/>
            <w:hideMark/>
          </w:tcPr>
          <w:p w:rsidR="00942DAD" w:rsidRDefault="00942DAD">
            <w:r>
              <w:t> </w:t>
            </w:r>
          </w:p>
        </w:tc>
      </w:tr>
      <w:tr w:rsidR="00942DAD" w:rsidTr="00942DAD">
        <w:trPr>
          <w:trHeight w:val="315"/>
        </w:trPr>
        <w:tc>
          <w:tcPr>
            <w:tcW w:w="1760" w:type="dxa"/>
            <w:gridSpan w:val="2"/>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11-Feb</w:t>
            </w:r>
          </w:p>
        </w:tc>
        <w:tc>
          <w:tcPr>
            <w:tcW w:w="8500" w:type="dxa"/>
            <w:tcMar>
              <w:top w:w="0" w:type="dxa"/>
              <w:left w:w="108" w:type="dxa"/>
              <w:bottom w:w="0" w:type="dxa"/>
              <w:right w:w="108" w:type="dxa"/>
            </w:tcMar>
            <w:vAlign w:val="bottom"/>
            <w:hideMark/>
          </w:tcPr>
          <w:p w:rsidR="00942DAD" w:rsidRDefault="00942DAD">
            <w:pPr>
              <w:spacing w:after="0" w:line="240" w:lineRule="auto"/>
              <w:rPr>
                <w:rFonts w:ascii="Calibri" w:hAnsi="Calibri"/>
                <w:color w:val="000000"/>
                <w:lang w:eastAsia="en-GB"/>
              </w:rPr>
            </w:pPr>
            <w:r>
              <w:rPr>
                <w:rFonts w:ascii="Calibri" w:hAnsi="Calibri"/>
                <w:color w:val="000000"/>
                <w:lang w:eastAsia="en-GB"/>
              </w:rPr>
              <w:t>Council Tax</w:t>
            </w:r>
          </w:p>
        </w:tc>
        <w:tc>
          <w:tcPr>
            <w:tcW w:w="945" w:type="dxa"/>
            <w:tcBorders>
              <w:top w:val="nil"/>
              <w:left w:val="nil"/>
              <w:bottom w:val="single" w:sz="8" w:space="0" w:color="auto"/>
              <w:right w:val="nil"/>
            </w:tcBorders>
            <w:vAlign w:val="center"/>
            <w:hideMark/>
          </w:tcPr>
          <w:p w:rsidR="00942DAD" w:rsidRDefault="00942DAD">
            <w:r>
              <w:t> </w:t>
            </w:r>
          </w:p>
        </w:tc>
      </w:tr>
      <w:tr w:rsidR="00942DAD" w:rsidTr="00942DAD">
        <w:trPr>
          <w:trHeight w:val="300"/>
        </w:trPr>
        <w:tc>
          <w:tcPr>
            <w:tcW w:w="1480" w:type="dxa"/>
            <w:noWrap/>
            <w:tcMar>
              <w:top w:w="0" w:type="dxa"/>
              <w:left w:w="108" w:type="dxa"/>
              <w:bottom w:w="0" w:type="dxa"/>
              <w:right w:w="108" w:type="dxa"/>
            </w:tcMar>
            <w:vAlign w:val="bottom"/>
            <w:hideMark/>
          </w:tcPr>
          <w:p w:rsidR="00942DAD" w:rsidRDefault="00942DAD"/>
        </w:tc>
        <w:tc>
          <w:tcPr>
            <w:tcW w:w="9719" w:type="dxa"/>
            <w:gridSpan w:val="3"/>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2DAD" w:rsidRDefault="00942DAD">
            <w:pPr>
              <w:spacing w:after="0" w:line="240" w:lineRule="auto"/>
              <w:rPr>
                <w:b/>
                <w:bCs/>
                <w:color w:val="000000"/>
                <w:sz w:val="20"/>
                <w:szCs w:val="20"/>
                <w:lang w:eastAsia="en-GB"/>
              </w:rPr>
            </w:pPr>
            <w:r>
              <w:rPr>
                <w:b/>
                <w:bCs/>
                <w:color w:val="000000"/>
                <w:sz w:val="20"/>
                <w:szCs w:val="20"/>
                <w:lang w:eastAsia="en-GB"/>
              </w:rPr>
              <w:t>Housing Unit– Learning to Advise</w:t>
            </w:r>
          </w:p>
        </w:tc>
      </w:tr>
      <w:tr w:rsidR="00942DAD" w:rsidTr="00942DAD">
        <w:trPr>
          <w:trHeight w:val="300"/>
        </w:trPr>
        <w:tc>
          <w:tcPr>
            <w:tcW w:w="1480" w:type="dxa"/>
            <w:noWrap/>
            <w:tcMar>
              <w:top w:w="0" w:type="dxa"/>
              <w:left w:w="108" w:type="dxa"/>
              <w:bottom w:w="0" w:type="dxa"/>
              <w:right w:w="108" w:type="dxa"/>
            </w:tcMar>
            <w:vAlign w:val="bottom"/>
            <w:hideMark/>
          </w:tcPr>
          <w:p w:rsidR="00942DAD" w:rsidRDefault="00942DAD">
            <w:pPr>
              <w:spacing w:after="0" w:line="240" w:lineRule="auto"/>
              <w:rPr>
                <w:sz w:val="20"/>
                <w:szCs w:val="20"/>
                <w:lang w:eastAsia="en-GB"/>
              </w:rPr>
            </w:pPr>
            <w:r>
              <w:rPr>
                <w:sz w:val="20"/>
                <w:szCs w:val="20"/>
                <w:lang w:eastAsia="en-GB"/>
              </w:rPr>
              <w:t>25-Feb</w:t>
            </w:r>
          </w:p>
        </w:tc>
        <w:tc>
          <w:tcPr>
            <w:tcW w:w="9719" w:type="dxa"/>
            <w:gridSpan w:val="3"/>
            <w:noWrap/>
            <w:tcMar>
              <w:top w:w="0" w:type="dxa"/>
              <w:left w:w="108" w:type="dxa"/>
              <w:bottom w:w="0" w:type="dxa"/>
              <w:right w:w="108" w:type="dxa"/>
            </w:tcMar>
            <w:vAlign w:val="center"/>
            <w:hideMark/>
          </w:tcPr>
          <w:p w:rsidR="00942DAD" w:rsidRDefault="00942DAD">
            <w:pPr>
              <w:spacing w:after="0" w:line="240" w:lineRule="auto"/>
              <w:rPr>
                <w:color w:val="000000"/>
                <w:sz w:val="20"/>
                <w:szCs w:val="20"/>
                <w:lang w:eastAsia="en-GB"/>
              </w:rPr>
            </w:pPr>
            <w:r>
              <w:rPr>
                <w:color w:val="000000"/>
                <w:sz w:val="20"/>
                <w:szCs w:val="20"/>
                <w:lang w:eastAsia="en-GB"/>
              </w:rPr>
              <w:t>Housing foundation day 1</w:t>
            </w:r>
          </w:p>
        </w:tc>
      </w:tr>
      <w:tr w:rsidR="00942DAD" w:rsidTr="00942DAD">
        <w:trPr>
          <w:trHeight w:val="300"/>
        </w:trPr>
        <w:tc>
          <w:tcPr>
            <w:tcW w:w="1480" w:type="dxa"/>
            <w:noWrap/>
            <w:tcMar>
              <w:top w:w="0" w:type="dxa"/>
              <w:left w:w="108" w:type="dxa"/>
              <w:bottom w:w="0" w:type="dxa"/>
              <w:right w:w="108" w:type="dxa"/>
            </w:tcMar>
            <w:vAlign w:val="bottom"/>
            <w:hideMark/>
          </w:tcPr>
          <w:p w:rsidR="00942DAD" w:rsidRDefault="00942DAD">
            <w:pPr>
              <w:spacing w:after="0" w:line="240" w:lineRule="auto"/>
              <w:rPr>
                <w:color w:val="000000"/>
                <w:sz w:val="20"/>
                <w:szCs w:val="20"/>
                <w:lang w:eastAsia="en-GB"/>
              </w:rPr>
            </w:pPr>
            <w:r>
              <w:rPr>
                <w:color w:val="000000"/>
                <w:sz w:val="20"/>
                <w:szCs w:val="20"/>
                <w:lang w:eastAsia="en-GB"/>
              </w:rPr>
              <w:t>03-Mar</w:t>
            </w:r>
          </w:p>
        </w:tc>
        <w:tc>
          <w:tcPr>
            <w:tcW w:w="9719" w:type="dxa"/>
            <w:gridSpan w:val="3"/>
            <w:noWrap/>
            <w:tcMar>
              <w:top w:w="0" w:type="dxa"/>
              <w:left w:w="108" w:type="dxa"/>
              <w:bottom w:w="0" w:type="dxa"/>
              <w:right w:w="108" w:type="dxa"/>
            </w:tcMar>
            <w:vAlign w:val="center"/>
            <w:hideMark/>
          </w:tcPr>
          <w:p w:rsidR="00942DAD" w:rsidRDefault="00942DAD">
            <w:pPr>
              <w:spacing w:after="0" w:line="240" w:lineRule="auto"/>
              <w:rPr>
                <w:color w:val="000000"/>
                <w:sz w:val="20"/>
                <w:szCs w:val="20"/>
                <w:lang w:eastAsia="en-GB"/>
              </w:rPr>
            </w:pPr>
            <w:r>
              <w:rPr>
                <w:color w:val="000000"/>
                <w:sz w:val="20"/>
                <w:szCs w:val="20"/>
                <w:lang w:eastAsia="en-GB"/>
              </w:rPr>
              <w:t xml:space="preserve">Housing foundation day 2 </w:t>
            </w:r>
          </w:p>
        </w:tc>
      </w:tr>
      <w:tr w:rsidR="00942DAD" w:rsidTr="00942DAD">
        <w:trPr>
          <w:trHeight w:val="300"/>
        </w:trPr>
        <w:tc>
          <w:tcPr>
            <w:tcW w:w="1480" w:type="dxa"/>
            <w:noWrap/>
            <w:tcMar>
              <w:top w:w="0" w:type="dxa"/>
              <w:left w:w="108" w:type="dxa"/>
              <w:bottom w:w="0" w:type="dxa"/>
              <w:right w:w="108" w:type="dxa"/>
            </w:tcMar>
            <w:vAlign w:val="bottom"/>
            <w:hideMark/>
          </w:tcPr>
          <w:p w:rsidR="00942DAD" w:rsidRDefault="00942DAD">
            <w:pPr>
              <w:spacing w:after="0" w:line="240" w:lineRule="auto"/>
              <w:rPr>
                <w:sz w:val="20"/>
                <w:szCs w:val="20"/>
                <w:lang w:eastAsia="en-GB"/>
              </w:rPr>
            </w:pPr>
            <w:r>
              <w:rPr>
                <w:sz w:val="20"/>
                <w:szCs w:val="20"/>
                <w:lang w:eastAsia="en-GB"/>
              </w:rPr>
              <w:t>10-Mar</w:t>
            </w:r>
          </w:p>
        </w:tc>
        <w:tc>
          <w:tcPr>
            <w:tcW w:w="9719" w:type="dxa"/>
            <w:gridSpan w:val="3"/>
            <w:noWrap/>
            <w:tcMar>
              <w:top w:w="0" w:type="dxa"/>
              <w:left w:w="108" w:type="dxa"/>
              <w:bottom w:w="0" w:type="dxa"/>
              <w:right w:w="108" w:type="dxa"/>
            </w:tcMar>
            <w:vAlign w:val="bottom"/>
            <w:hideMark/>
          </w:tcPr>
          <w:p w:rsidR="00942DAD" w:rsidRDefault="00942DAD">
            <w:pPr>
              <w:spacing w:after="0" w:line="240" w:lineRule="auto"/>
              <w:rPr>
                <w:sz w:val="20"/>
                <w:szCs w:val="20"/>
                <w:lang w:eastAsia="en-GB"/>
              </w:rPr>
            </w:pPr>
            <w:r>
              <w:rPr>
                <w:sz w:val="20"/>
                <w:szCs w:val="20"/>
                <w:lang w:eastAsia="en-GB"/>
              </w:rPr>
              <w:t xml:space="preserve">Advising on possession proceedings </w:t>
            </w:r>
          </w:p>
        </w:tc>
      </w:tr>
      <w:tr w:rsidR="00942DAD" w:rsidTr="00942DAD">
        <w:trPr>
          <w:trHeight w:val="300"/>
        </w:trPr>
        <w:tc>
          <w:tcPr>
            <w:tcW w:w="1480" w:type="dxa"/>
            <w:noWrap/>
            <w:tcMar>
              <w:top w:w="0" w:type="dxa"/>
              <w:left w:w="108" w:type="dxa"/>
              <w:bottom w:w="0" w:type="dxa"/>
              <w:right w:w="108" w:type="dxa"/>
            </w:tcMar>
            <w:vAlign w:val="bottom"/>
            <w:hideMark/>
          </w:tcPr>
          <w:p w:rsidR="00942DAD" w:rsidRDefault="00942DAD">
            <w:pPr>
              <w:spacing w:after="0" w:line="240" w:lineRule="auto"/>
              <w:rPr>
                <w:sz w:val="20"/>
                <w:szCs w:val="20"/>
                <w:lang w:eastAsia="en-GB"/>
              </w:rPr>
            </w:pPr>
            <w:r>
              <w:rPr>
                <w:sz w:val="20"/>
                <w:szCs w:val="20"/>
                <w:lang w:eastAsia="en-GB"/>
              </w:rPr>
              <w:t>17-Mar</w:t>
            </w:r>
          </w:p>
        </w:tc>
        <w:tc>
          <w:tcPr>
            <w:tcW w:w="9719" w:type="dxa"/>
            <w:gridSpan w:val="3"/>
            <w:noWrap/>
            <w:tcMar>
              <w:top w:w="0" w:type="dxa"/>
              <w:left w:w="108" w:type="dxa"/>
              <w:bottom w:w="0" w:type="dxa"/>
              <w:right w:w="108" w:type="dxa"/>
            </w:tcMar>
            <w:vAlign w:val="center"/>
            <w:hideMark/>
          </w:tcPr>
          <w:p w:rsidR="00942DAD" w:rsidRDefault="00942DAD">
            <w:pPr>
              <w:spacing w:after="0" w:line="240" w:lineRule="auto"/>
              <w:rPr>
                <w:sz w:val="20"/>
                <w:szCs w:val="20"/>
                <w:lang w:eastAsia="en-GB"/>
              </w:rPr>
            </w:pPr>
            <w:r>
              <w:rPr>
                <w:sz w:val="20"/>
                <w:szCs w:val="20"/>
                <w:lang w:eastAsia="en-GB"/>
              </w:rPr>
              <w:t>Social housing next steps</w:t>
            </w:r>
          </w:p>
        </w:tc>
      </w:tr>
      <w:tr w:rsidR="00942DAD" w:rsidTr="00942DAD">
        <w:trPr>
          <w:trHeight w:val="300"/>
        </w:trPr>
        <w:tc>
          <w:tcPr>
            <w:tcW w:w="1480" w:type="dxa"/>
            <w:noWrap/>
            <w:tcMar>
              <w:top w:w="0" w:type="dxa"/>
              <w:left w:w="108" w:type="dxa"/>
              <w:bottom w:w="0" w:type="dxa"/>
              <w:right w:w="108" w:type="dxa"/>
            </w:tcMar>
            <w:vAlign w:val="bottom"/>
            <w:hideMark/>
          </w:tcPr>
          <w:p w:rsidR="00942DAD" w:rsidRDefault="00942DAD">
            <w:pPr>
              <w:spacing w:after="0" w:line="240" w:lineRule="auto"/>
              <w:rPr>
                <w:sz w:val="20"/>
                <w:szCs w:val="20"/>
                <w:lang w:eastAsia="en-GB"/>
              </w:rPr>
            </w:pPr>
            <w:r>
              <w:rPr>
                <w:sz w:val="20"/>
                <w:szCs w:val="20"/>
                <w:lang w:eastAsia="en-GB"/>
              </w:rPr>
              <w:t>22-Mar</w:t>
            </w:r>
          </w:p>
        </w:tc>
        <w:tc>
          <w:tcPr>
            <w:tcW w:w="9719" w:type="dxa"/>
            <w:gridSpan w:val="3"/>
            <w:noWrap/>
            <w:tcMar>
              <w:top w:w="0" w:type="dxa"/>
              <w:left w:w="108" w:type="dxa"/>
              <w:bottom w:w="0" w:type="dxa"/>
              <w:right w:w="108" w:type="dxa"/>
            </w:tcMar>
            <w:vAlign w:val="center"/>
            <w:hideMark/>
          </w:tcPr>
          <w:p w:rsidR="00942DAD" w:rsidRDefault="00942DAD">
            <w:pPr>
              <w:spacing w:after="0" w:line="240" w:lineRule="auto"/>
              <w:rPr>
                <w:sz w:val="20"/>
                <w:szCs w:val="20"/>
                <w:lang w:eastAsia="en-GB"/>
              </w:rPr>
            </w:pPr>
            <w:r>
              <w:rPr>
                <w:sz w:val="20"/>
                <w:szCs w:val="20"/>
                <w:lang w:eastAsia="en-GB"/>
              </w:rPr>
              <w:t xml:space="preserve">Housing and lettings </w:t>
            </w:r>
          </w:p>
        </w:tc>
      </w:tr>
      <w:tr w:rsidR="00942DAD" w:rsidTr="00942DAD">
        <w:tc>
          <w:tcPr>
            <w:tcW w:w="1485" w:type="dxa"/>
            <w:vAlign w:val="center"/>
            <w:hideMark/>
          </w:tcPr>
          <w:p w:rsidR="00942DAD" w:rsidRDefault="00942DAD">
            <w:pPr>
              <w:rPr>
                <w:sz w:val="20"/>
                <w:szCs w:val="20"/>
                <w:lang w:eastAsia="en-GB"/>
              </w:rPr>
            </w:pPr>
          </w:p>
        </w:tc>
        <w:tc>
          <w:tcPr>
            <w:tcW w:w="285" w:type="dxa"/>
            <w:vAlign w:val="center"/>
            <w:hideMark/>
          </w:tcPr>
          <w:p w:rsidR="00942DAD" w:rsidRDefault="00942DAD">
            <w:pPr>
              <w:spacing w:after="0" w:line="240" w:lineRule="auto"/>
              <w:rPr>
                <w:rFonts w:ascii="Times New Roman" w:eastAsia="Times New Roman" w:hAnsi="Times New Roman" w:cs="Times New Roman"/>
                <w:sz w:val="20"/>
                <w:szCs w:val="20"/>
                <w:lang w:eastAsia="en-GB"/>
              </w:rPr>
            </w:pPr>
          </w:p>
        </w:tc>
        <w:tc>
          <w:tcPr>
            <w:tcW w:w="8505" w:type="dxa"/>
            <w:vAlign w:val="center"/>
            <w:hideMark/>
          </w:tcPr>
          <w:p w:rsidR="00942DAD" w:rsidRDefault="00942DAD">
            <w:pPr>
              <w:spacing w:after="0" w:line="240" w:lineRule="auto"/>
              <w:rPr>
                <w:rFonts w:ascii="Times New Roman" w:eastAsia="Times New Roman" w:hAnsi="Times New Roman" w:cs="Times New Roman"/>
                <w:sz w:val="20"/>
                <w:szCs w:val="20"/>
                <w:lang w:eastAsia="en-GB"/>
              </w:rPr>
            </w:pPr>
          </w:p>
        </w:tc>
        <w:tc>
          <w:tcPr>
            <w:tcW w:w="945" w:type="dxa"/>
            <w:vAlign w:val="center"/>
            <w:hideMark/>
          </w:tcPr>
          <w:p w:rsidR="00942DAD" w:rsidRDefault="00942DAD">
            <w:pPr>
              <w:spacing w:after="0" w:line="240" w:lineRule="auto"/>
              <w:rPr>
                <w:rFonts w:ascii="Times New Roman" w:eastAsia="Times New Roman" w:hAnsi="Times New Roman" w:cs="Times New Roman"/>
                <w:sz w:val="20"/>
                <w:szCs w:val="20"/>
                <w:lang w:eastAsia="en-GB"/>
              </w:rPr>
            </w:pPr>
          </w:p>
        </w:tc>
      </w:tr>
    </w:tbl>
    <w:p w:rsidR="00942DAD" w:rsidRDefault="00942DAD" w:rsidP="00942DAD">
      <w:pPr>
        <w:pStyle w:val="NoSpacing"/>
        <w:rPr>
          <w:b/>
          <w:bCs/>
          <w:color w:val="1F497D"/>
          <w:sz w:val="32"/>
          <w:szCs w:val="32"/>
          <w:u w:val="single"/>
        </w:rPr>
      </w:pPr>
    </w:p>
    <w:p w:rsidR="00942DAD" w:rsidRDefault="00942DAD" w:rsidP="00942DAD">
      <w:pPr>
        <w:pStyle w:val="NoSpacing"/>
        <w:rPr>
          <w:rFonts w:ascii="Calibri" w:hAnsi="Calibri"/>
          <w:b/>
          <w:bCs/>
          <w:color w:val="1F497D"/>
          <w:sz w:val="22"/>
          <w:szCs w:val="22"/>
          <w:u w:val="single"/>
        </w:rPr>
      </w:pPr>
    </w:p>
    <w:p w:rsidR="00942DAD" w:rsidRDefault="00942DAD" w:rsidP="00942DAD">
      <w:pPr>
        <w:pStyle w:val="NoSpacing"/>
        <w:rPr>
          <w:color w:val="FF0000"/>
          <w:sz w:val="22"/>
          <w:szCs w:val="22"/>
        </w:rPr>
      </w:pPr>
      <w:r>
        <w:rPr>
          <w:b/>
          <w:bCs/>
          <w:color w:val="FF0000"/>
          <w:sz w:val="32"/>
          <w:szCs w:val="32"/>
          <w:u w:val="single"/>
        </w:rPr>
        <w:t>Benefit /Advice Issues Up-dates</w:t>
      </w:r>
    </w:p>
    <w:p w:rsidR="00942DAD" w:rsidRDefault="00942DAD" w:rsidP="00942DAD">
      <w:pPr>
        <w:pStyle w:val="NoSpacing"/>
        <w:rPr>
          <w:color w:val="FF0000"/>
        </w:rPr>
      </w:pPr>
    </w:p>
    <w:p w:rsidR="00942DAD" w:rsidRDefault="00942DAD" w:rsidP="00942DAD">
      <w:pPr>
        <w:pStyle w:val="ListParagraph"/>
        <w:ind w:left="360"/>
      </w:pPr>
    </w:p>
    <w:p w:rsidR="00942DAD" w:rsidRDefault="00942DAD" w:rsidP="00942DAD">
      <w:pPr>
        <w:pStyle w:val="ListParagraph"/>
        <w:numPr>
          <w:ilvl w:val="0"/>
          <w:numId w:val="5"/>
        </w:numPr>
      </w:pPr>
      <w:r>
        <w:t xml:space="preserve">Applications to write off/reduce council tax liability and/or debt information and application form attached (will be available on </w:t>
      </w:r>
      <w:hyperlink r:id="rId7" w:history="1">
        <w:r>
          <w:rPr>
            <w:rStyle w:val="Hyperlink"/>
            <w:color w:val="0000FF"/>
          </w:rPr>
          <w:t>http://thcan.org.uk/factsheets/</w:t>
        </w:r>
      </w:hyperlink>
      <w:r>
        <w:t xml:space="preserve">)  Anyone who is responsible for a council tax bill either in the current year or for arrears from previous years can apply if they can show that they are experiencing financial hardship. </w:t>
      </w:r>
    </w:p>
    <w:p w:rsidR="00942DAD" w:rsidRDefault="00942DAD" w:rsidP="00942DAD">
      <w:pPr>
        <w:pStyle w:val="NormalWeb"/>
        <w:numPr>
          <w:ilvl w:val="0"/>
          <w:numId w:val="5"/>
        </w:numPr>
        <w:rPr>
          <w:rFonts w:ascii="Arial" w:hAnsi="Arial" w:cs="Arial"/>
        </w:rPr>
      </w:pPr>
      <w:r>
        <w:rPr>
          <w:rFonts w:ascii="Arial" w:hAnsi="Arial" w:cs="Arial"/>
        </w:rPr>
        <w:t xml:space="preserve">Z2K can confirm that it was right to demand that the Government is held to account for its </w:t>
      </w:r>
      <w:hyperlink r:id="rId8" w:tgtFrame="_blank" w:history="1">
        <w:r>
          <w:rPr>
            <w:rStyle w:val="Hyperlink"/>
            <w:rFonts w:ascii="Arial" w:hAnsi="Arial" w:cs="Arial"/>
            <w:color w:val="auto"/>
          </w:rPr>
          <w:t>nine week ad campaign</w:t>
        </w:r>
      </w:hyperlink>
      <w:r>
        <w:rPr>
          <w:rFonts w:ascii="Arial" w:hAnsi="Arial" w:cs="Arial"/>
        </w:rPr>
        <w:t xml:space="preserve"> in The Metro earlier this year, in which it repeatedly misled the public on Universal Credit.  The Advertising Standards Authority (ASA) has confirmed that there is simply no evidence to back the Department for Work &amp; Pensions’ (DWP’s) claims about people being better off on Universal Credit.  We have launched a public campaign, urging all political parties to commit to an independent investigation, should they form the next Government, into how and why these misleading adverts were approved within DWP.  We are also asking the Work &amp; Pensions Select Committee to undertake a wider inquiry into whether this represents a more fundamentally dysfunctional culture, one which relies on damaging propaganda to avoid engaging with the real experiences of people struggling to live on Universal Credit. We are also calling for an apology from the DWP itself for these misleading adverts.</w:t>
      </w:r>
      <w:r>
        <w:rPr>
          <w:rFonts w:ascii="Arial" w:hAnsi="Arial" w:cs="Arial"/>
        </w:rPr>
        <w:br/>
      </w:r>
      <w:r>
        <w:rPr>
          <w:rFonts w:ascii="Arial" w:hAnsi="Arial" w:cs="Arial"/>
        </w:rPr>
        <w:br/>
      </w:r>
      <w:r>
        <w:rPr>
          <w:rFonts w:ascii="Arial" w:hAnsi="Arial" w:cs="Arial"/>
        </w:rPr>
        <w:lastRenderedPageBreak/>
        <w:t>Why is this important?  The ads are over but the Government must still be held to account. DWP’s misleading culture and their refusal to accept evidence from experts who have continually evidenced DWP harmful practices leading to poverty and deprivation can no longer be ignored.</w:t>
      </w:r>
      <w:r>
        <w:rPr>
          <w:rFonts w:ascii="Arial" w:hAnsi="Arial" w:cs="Arial"/>
        </w:rPr>
        <w:br/>
      </w:r>
      <w:r>
        <w:rPr>
          <w:rFonts w:ascii="Arial" w:hAnsi="Arial" w:cs="Arial"/>
        </w:rPr>
        <w:br/>
        <w:t xml:space="preserve">At a time when thousands of people are reliant on food banks, the government is spending public money on propaganda.  This has to stop and the DWP must engage with the real stories of people and the ways in which they are being failed by a broken benefits system.  </w:t>
      </w:r>
      <w:hyperlink r:id="rId9" w:tgtFrame="_blank" w:history="1">
        <w:r>
          <w:rPr>
            <w:rStyle w:val="Hyperlink"/>
            <w:rFonts w:ascii="Arial" w:hAnsi="Arial" w:cs="Arial"/>
            <w:color w:val="auto"/>
          </w:rPr>
          <w:t xml:space="preserve">Join our campaign </w:t>
        </w:r>
      </w:hyperlink>
      <w:r>
        <w:rPr>
          <w:rFonts w:ascii="Arial" w:hAnsi="Arial" w:cs="Arial"/>
        </w:rPr>
        <w:t>to tell the government to #</w:t>
      </w:r>
      <w:proofErr w:type="spellStart"/>
      <w:r>
        <w:rPr>
          <w:rFonts w:ascii="Arial" w:hAnsi="Arial" w:cs="Arial"/>
        </w:rPr>
        <w:t>StopMisleading</w:t>
      </w:r>
      <w:proofErr w:type="spellEnd"/>
      <w:r>
        <w:rPr>
          <w:rFonts w:ascii="Arial" w:hAnsi="Arial" w:cs="Arial"/>
        </w:rPr>
        <w:t xml:space="preserve"> TODAY.</w:t>
      </w:r>
    </w:p>
    <w:p w:rsidR="00942DAD" w:rsidRDefault="00942DAD" w:rsidP="00942DAD">
      <w:pPr>
        <w:pStyle w:val="NormalWeb"/>
        <w:ind w:left="360"/>
        <w:rPr>
          <w:rFonts w:ascii="Arial" w:hAnsi="Arial" w:cs="Arial"/>
        </w:rPr>
      </w:pPr>
    </w:p>
    <w:p w:rsidR="00942DAD" w:rsidRDefault="00942DAD" w:rsidP="00942DAD">
      <w:pPr>
        <w:pStyle w:val="NormalWeb"/>
        <w:numPr>
          <w:ilvl w:val="0"/>
          <w:numId w:val="5"/>
        </w:numPr>
        <w:rPr>
          <w:rFonts w:ascii="Arial" w:hAnsi="Arial" w:cs="Arial"/>
        </w:rPr>
      </w:pPr>
      <w:r>
        <w:rPr>
          <w:rFonts w:ascii="Arial" w:hAnsi="Arial" w:cs="Arial"/>
          <w:b/>
          <w:bCs/>
        </w:rPr>
        <w:t xml:space="preserve">REVIEW OF PIP CLAIMS – special diet / medication and monitoring  </w:t>
      </w:r>
      <w:r>
        <w:rPr>
          <w:rFonts w:ascii="Arial" w:hAnsi="Arial" w:cs="Arial"/>
        </w:rPr>
        <w:t>Announcement from the DWP that they’ve got to review PIP claims on two issues.</w:t>
      </w:r>
    </w:p>
    <w:p w:rsidR="00942DAD" w:rsidRDefault="00942DAD" w:rsidP="00942DAD">
      <w:pPr>
        <w:pStyle w:val="NormalWeb"/>
        <w:ind w:left="360"/>
        <w:rPr>
          <w:rFonts w:ascii="Arial" w:hAnsi="Arial" w:cs="Arial"/>
        </w:rPr>
      </w:pPr>
      <w:r>
        <w:rPr>
          <w:rFonts w:ascii="Arial" w:hAnsi="Arial" w:cs="Arial"/>
          <w:b/>
          <w:bCs/>
        </w:rPr>
        <w:t xml:space="preserve">Special diet  </w:t>
      </w:r>
      <w:r>
        <w:rPr>
          <w:rFonts w:ascii="Arial" w:hAnsi="Arial" w:cs="Arial"/>
        </w:rPr>
        <w:t>If you need help or supervision to follow a special diet prescribed or recommended by a health professional you may score points under the PIP descriptors for managing therapy. You might need help to ensure you don’t eat certain foods, for example, or to make sure that you eat the right sort of food regularly throughout the day. Before 28 November 2016 the DWP refused to accept that help with managing a special diet could count as managing therapy. Even after the upper tribunal decision they continued to make the wrong decision in many cases. Hence the review.</w:t>
      </w:r>
    </w:p>
    <w:p w:rsidR="00942DAD" w:rsidRDefault="00942DAD" w:rsidP="00942DAD">
      <w:pPr>
        <w:pStyle w:val="NormalWeb"/>
        <w:ind w:left="360"/>
        <w:rPr>
          <w:rFonts w:ascii="Arial" w:hAnsi="Arial" w:cs="Arial"/>
        </w:rPr>
      </w:pPr>
      <w:r>
        <w:rPr>
          <w:rFonts w:ascii="Arial" w:hAnsi="Arial" w:cs="Arial"/>
          <w:b/>
          <w:bCs/>
        </w:rPr>
        <w:t xml:space="preserve">Medication and monitoring </w:t>
      </w:r>
      <w:r>
        <w:rPr>
          <w:rFonts w:ascii="Arial" w:hAnsi="Arial" w:cs="Arial"/>
        </w:rPr>
        <w:t>Where a claimant needed supervision, prompting or assistance to both manage medication and monitor a health condition. The upper tribunal judge in the same case decided that this counted as help to manage therapy. So the review is only looking at decisions made between 28 November 2016 and 15 March 2017. The DWP are not planning to subject anyone to a face-to-face assessment for any part of this review.</w:t>
      </w:r>
    </w:p>
    <w:p w:rsidR="00942DAD" w:rsidRDefault="00942DAD" w:rsidP="00942DAD">
      <w:pPr>
        <w:pStyle w:val="NoSpacing"/>
        <w:rPr>
          <w:b/>
          <w:bCs/>
          <w:color w:val="FF0000"/>
          <w:sz w:val="28"/>
          <w:szCs w:val="28"/>
          <w:u w:val="single"/>
        </w:rPr>
      </w:pPr>
    </w:p>
    <w:p w:rsidR="00942DAD" w:rsidRDefault="00942DAD" w:rsidP="00942DAD">
      <w:pPr>
        <w:pStyle w:val="NoSpacing"/>
        <w:rPr>
          <w:color w:val="FF0000"/>
          <w:sz w:val="28"/>
          <w:szCs w:val="28"/>
          <w:u w:val="single"/>
        </w:rPr>
      </w:pPr>
      <w:r>
        <w:rPr>
          <w:b/>
          <w:bCs/>
          <w:color w:val="FF0000"/>
          <w:sz w:val="28"/>
          <w:szCs w:val="28"/>
          <w:u w:val="single"/>
        </w:rPr>
        <w:t>Information Exchange</w:t>
      </w:r>
    </w:p>
    <w:p w:rsidR="00942DAD" w:rsidRDefault="00942DAD" w:rsidP="00942DAD">
      <w:pPr>
        <w:pStyle w:val="ListParagraph"/>
        <w:ind w:left="0"/>
        <w:rPr>
          <w:color w:val="1F497D"/>
        </w:rPr>
      </w:pPr>
    </w:p>
    <w:p w:rsidR="00942DAD" w:rsidRDefault="00942DAD" w:rsidP="00942DAD">
      <w:pPr>
        <w:pStyle w:val="ListParagraph"/>
        <w:numPr>
          <w:ilvl w:val="0"/>
          <w:numId w:val="6"/>
        </w:numPr>
      </w:pPr>
      <w:r>
        <w:t xml:space="preserve">Referral form attached for referring cases to </w:t>
      </w:r>
      <w:r>
        <w:rPr>
          <w:b/>
          <w:bCs/>
          <w:lang w:eastAsia="en-GB"/>
        </w:rPr>
        <w:t>Prevention Liaison Officer in Housing Options Service London Borough of Tower Hamlets</w:t>
      </w:r>
      <w:r>
        <w:t xml:space="preserve">, they work with tenants and check for all means available to get arrears reduced/cleared i.e. HB reconsideration, DHP, advise tenant on the need to make lump sum (if they are able).  The attached form can be to refer tenants facing eviction. The project is designed for early intervention to be used to refer tenants facing eviction as early as possible that is, from when the NOSP expires but occasionally they will accept a late referral when possession has been granted and you are waiting for eviction date, however this is not the norm. </w:t>
      </w:r>
      <w:hyperlink r:id="rId10" w:history="1">
        <w:r>
          <w:rPr>
            <w:rStyle w:val="Hyperlink"/>
            <w:color w:val="auto"/>
          </w:rPr>
          <w:t>lizzy.hameed@towerhamlets.gov.uk</w:t>
        </w:r>
      </w:hyperlink>
      <w:r>
        <w:t xml:space="preserve"> </w:t>
      </w:r>
      <w:r>
        <w:rPr>
          <w:lang w:eastAsia="en-GB"/>
        </w:rPr>
        <w:t>Tel: 0207 364 3528</w:t>
      </w:r>
    </w:p>
    <w:p w:rsidR="00942DAD" w:rsidRDefault="00942DAD" w:rsidP="00942DAD">
      <w:pPr>
        <w:pStyle w:val="ListParagraph"/>
        <w:ind w:left="360"/>
      </w:pPr>
    </w:p>
    <w:p w:rsidR="00942DAD" w:rsidRDefault="00942DAD" w:rsidP="00942DAD">
      <w:pPr>
        <w:pStyle w:val="ListParagraph"/>
        <w:numPr>
          <w:ilvl w:val="0"/>
          <w:numId w:val="6"/>
        </w:numPr>
      </w:pPr>
      <w:r>
        <w:lastRenderedPageBreak/>
        <w:t>Legal Advice Centre has a Family Law/DV session which from the 10th of December will be held in their main offices at 104 Roman Road. See attached flyer .  </w:t>
      </w:r>
      <w:r>
        <w:rPr>
          <w:shd w:val="clear" w:color="auto" w:fill="FFFFFF"/>
        </w:rPr>
        <w:t>Please let your session supervisors and advisers know. </w:t>
      </w:r>
    </w:p>
    <w:p w:rsidR="00942DAD" w:rsidRDefault="00942DAD" w:rsidP="00942DAD">
      <w:pPr>
        <w:pStyle w:val="ListParagraph"/>
        <w:rPr>
          <w:color w:val="1F497D"/>
          <w:lang w:val="en-US" w:eastAsia="en-GB"/>
        </w:rPr>
      </w:pPr>
    </w:p>
    <w:p w:rsidR="00942DAD" w:rsidRDefault="00942DAD" w:rsidP="00942DAD">
      <w:pPr>
        <w:pStyle w:val="NoSpacing"/>
        <w:rPr>
          <w:u w:val="single"/>
        </w:rPr>
      </w:pPr>
    </w:p>
    <w:p w:rsidR="00942DAD" w:rsidRDefault="00942DAD" w:rsidP="00942DAD">
      <w:pPr>
        <w:pStyle w:val="NoSpacing"/>
        <w:rPr>
          <w:b/>
          <w:bCs/>
          <w:sz w:val="28"/>
          <w:szCs w:val="28"/>
          <w:u w:val="single"/>
        </w:rPr>
      </w:pPr>
      <w:r>
        <w:rPr>
          <w:b/>
          <w:bCs/>
          <w:color w:val="FF0000"/>
          <w:sz w:val="28"/>
          <w:szCs w:val="28"/>
          <w:u w:val="single"/>
        </w:rPr>
        <w:t>Vacancies</w:t>
      </w:r>
    </w:p>
    <w:p w:rsidR="00942DAD" w:rsidRDefault="00942DAD" w:rsidP="00942DAD">
      <w:pPr>
        <w:pStyle w:val="NoSpacing"/>
        <w:rPr>
          <w:b/>
          <w:bCs/>
          <w:color w:val="1F497D"/>
          <w:u w:val="single"/>
        </w:rPr>
      </w:pPr>
    </w:p>
    <w:p w:rsidR="00942DAD" w:rsidRDefault="00942DAD" w:rsidP="00942DAD">
      <w:pPr>
        <w:pStyle w:val="ListParagraph"/>
        <w:numPr>
          <w:ilvl w:val="0"/>
          <w:numId w:val="7"/>
        </w:numPr>
        <w:ind w:left="360"/>
        <w:rPr>
          <w:lang w:eastAsia="en-GB"/>
        </w:rPr>
      </w:pPr>
      <w:r>
        <w:rPr>
          <w:lang w:eastAsia="en-GB"/>
        </w:rPr>
        <w:t>None to promote</w:t>
      </w:r>
    </w:p>
    <w:p w:rsidR="00942DAD" w:rsidRDefault="00942DAD" w:rsidP="00942DAD">
      <w:pPr>
        <w:pStyle w:val="ydp27e880beyiv7211945953xxmsonormal"/>
        <w:rPr>
          <w:rFonts w:ascii="Arial" w:hAnsi="Arial" w:cs="Arial"/>
          <w:b/>
          <w:bCs/>
          <w:color w:val="1F497D"/>
          <w:u w:val="single"/>
        </w:rPr>
      </w:pPr>
    </w:p>
    <w:p w:rsidR="00942DAD" w:rsidRDefault="00942DAD" w:rsidP="00942DAD">
      <w:pPr>
        <w:pStyle w:val="ydp27e880beyiv7211945953xxmsonormal"/>
        <w:rPr>
          <w:rFonts w:ascii="Arial" w:hAnsi="Arial" w:cs="Arial"/>
          <w:b/>
          <w:bCs/>
          <w:color w:val="FF0000"/>
          <w:u w:val="single"/>
        </w:rPr>
      </w:pPr>
      <w:r>
        <w:rPr>
          <w:rFonts w:ascii="Arial" w:hAnsi="Arial" w:cs="Arial"/>
          <w:b/>
          <w:bCs/>
          <w:color w:val="FF0000"/>
          <w:u w:val="single"/>
        </w:rPr>
        <w:t>Specialist Welfare Rights Advisors Referrals for Tower Hamlets Residents</w:t>
      </w:r>
    </w:p>
    <w:p w:rsidR="00942DAD" w:rsidRDefault="00942DAD" w:rsidP="00942DAD">
      <w:pPr>
        <w:pStyle w:val="ydp27e880beyiv7211945953xxmsonormal"/>
        <w:rPr>
          <w:rFonts w:ascii="Arial" w:hAnsi="Arial" w:cs="Arial"/>
        </w:rPr>
      </w:pPr>
      <w:r>
        <w:rPr>
          <w:rFonts w:ascii="Arial" w:hAnsi="Arial" w:cs="Arial"/>
          <w:b/>
          <w:bCs/>
        </w:rPr>
        <w:t>Legal Advice Centre</w:t>
      </w:r>
      <w:r>
        <w:rPr>
          <w:rFonts w:ascii="Arial" w:hAnsi="Arial" w:cs="Arial"/>
        </w:rPr>
        <w:t>: Only take referrals for appeals when got the appeal bundle, not Mandatory Reconsideration.  Otherwise can be ‘signposted’  (</w:t>
      </w:r>
      <w:proofErr w:type="spellStart"/>
      <w:r>
        <w:rPr>
          <w:rFonts w:ascii="Arial" w:hAnsi="Arial" w:cs="Arial"/>
        </w:rPr>
        <w:t>ie</w:t>
      </w:r>
      <w:proofErr w:type="spellEnd"/>
      <w:r>
        <w:rPr>
          <w:rFonts w:ascii="Arial" w:hAnsi="Arial" w:cs="Arial"/>
        </w:rPr>
        <w:t xml:space="preserve"> send client to drop in advice session) for assistance. Referrals can be emailed to </w:t>
      </w:r>
      <w:hyperlink r:id="rId11" w:tgtFrame="_blank"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12" w:anchor="_blank" w:tgtFrame="_blank" w:history="1">
        <w:r>
          <w:rPr>
            <w:rStyle w:val="Hyperlink"/>
            <w:rFonts w:ascii="Arial" w:hAnsi="Arial" w:cs="Arial"/>
            <w:color w:val="auto"/>
          </w:rPr>
          <w:t>www.thcan.org.uk/advice-agencies-information/</w:t>
        </w:r>
      </w:hyperlink>
    </w:p>
    <w:p w:rsidR="00942DAD" w:rsidRDefault="00942DAD" w:rsidP="00942DAD">
      <w:pPr>
        <w:pStyle w:val="ydp27e880beyiv7211945953xxmsonormal"/>
        <w:rPr>
          <w:rFonts w:ascii="Arial" w:hAnsi="Arial" w:cs="Arial"/>
        </w:rPr>
      </w:pPr>
      <w:r>
        <w:rPr>
          <w:rFonts w:ascii="Arial" w:hAnsi="Arial" w:cs="Arial"/>
          <w:b/>
          <w:bCs/>
        </w:rPr>
        <w:t>Law Centre</w:t>
      </w:r>
      <w:r>
        <w:rPr>
          <w:rFonts w:ascii="Arial" w:hAnsi="Arial" w:cs="Arial"/>
        </w:rPr>
        <w:t xml:space="preserve">: Chris Parsons very limited capacity but to email or phone him, has no particular criteria </w:t>
      </w:r>
      <w:hyperlink r:id="rId13" w:tgtFrame="_blank" w:history="1">
        <w:r>
          <w:rPr>
            <w:rStyle w:val="Hyperlink"/>
            <w:rFonts w:ascii="Arial" w:hAnsi="Arial" w:cs="Arial"/>
            <w:color w:val="auto"/>
          </w:rPr>
          <w:t>c.parsons@thlc.org.uk</w:t>
        </w:r>
      </w:hyperlink>
      <w:r>
        <w:rPr>
          <w:rFonts w:ascii="Arial" w:hAnsi="Arial" w:cs="Arial"/>
        </w:rPr>
        <w:t xml:space="preserve"> </w:t>
      </w:r>
    </w:p>
    <w:p w:rsidR="00942DAD" w:rsidRDefault="00942DAD" w:rsidP="00942DAD">
      <w:pPr>
        <w:pStyle w:val="ydp27e880beyiv7211945953xxmsonormal"/>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email  </w:t>
      </w:r>
      <w:hyperlink r:id="rId14"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942DAD" w:rsidRDefault="00942DAD" w:rsidP="00942DAD">
      <w:pPr>
        <w:pStyle w:val="NoSpacing"/>
      </w:pPr>
      <w:r>
        <w:rPr>
          <w:b/>
          <w:bCs/>
        </w:rPr>
        <w:t>CAB</w:t>
      </w:r>
      <w:r>
        <w:t xml:space="preserve"> advisor </w:t>
      </w:r>
      <w:proofErr w:type="spellStart"/>
      <w:r>
        <w:t>Eukay</w:t>
      </w:r>
      <w:proofErr w:type="spellEnd"/>
      <w:r>
        <w:t xml:space="preserve"> email </w:t>
      </w:r>
      <w:hyperlink r:id="rId15" w:tgtFrame="_blank" w:history="1">
        <w:r>
          <w:rPr>
            <w:rStyle w:val="Hyperlink"/>
            <w:color w:val="auto"/>
          </w:rPr>
          <w:t>eukandu@eastendcab.org.uk</w:t>
        </w:r>
      </w:hyperlink>
      <w:r>
        <w:t xml:space="preserve">    Also their full drop in services sessions are available on:  </w:t>
      </w:r>
      <w:hyperlink r:id="rId16" w:anchor="_blank" w:tgtFrame="_blank" w:history="1">
        <w:r>
          <w:rPr>
            <w:rStyle w:val="Hyperlink"/>
            <w:color w:val="auto"/>
          </w:rPr>
          <w:t>www.thcan.org.uk/advice-agencies-information/</w:t>
        </w:r>
      </w:hyperlink>
    </w:p>
    <w:p w:rsidR="00942DAD" w:rsidRDefault="00942DAD" w:rsidP="00942DAD"/>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2C1"/>
    <w:multiLevelType w:val="multilevel"/>
    <w:tmpl w:val="66EE27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A250024"/>
    <w:multiLevelType w:val="hybridMultilevel"/>
    <w:tmpl w:val="7DF2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1103A1"/>
    <w:multiLevelType w:val="hybridMultilevel"/>
    <w:tmpl w:val="DFCA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A74CA2"/>
    <w:multiLevelType w:val="hybridMultilevel"/>
    <w:tmpl w:val="D4FE8E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FC52590"/>
    <w:multiLevelType w:val="multilevel"/>
    <w:tmpl w:val="765657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1C4508F"/>
    <w:multiLevelType w:val="hybridMultilevel"/>
    <w:tmpl w:val="A9940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106664C"/>
    <w:multiLevelType w:val="hybridMultilevel"/>
    <w:tmpl w:val="6D5E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AD"/>
    <w:rsid w:val="001478E9"/>
    <w:rsid w:val="00942DAD"/>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3CFA9-F8D0-4CD9-A712-E08B5FF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DAD"/>
    <w:pPr>
      <w:spacing w:line="252"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DAD"/>
    <w:rPr>
      <w:color w:val="0563C1"/>
      <w:u w:val="single"/>
    </w:rPr>
  </w:style>
  <w:style w:type="paragraph" w:styleId="NormalWeb">
    <w:name w:val="Normal (Web)"/>
    <w:basedOn w:val="Normal"/>
    <w:uiPriority w:val="99"/>
    <w:semiHidden/>
    <w:unhideWhenUsed/>
    <w:rsid w:val="00942DAD"/>
    <w:pPr>
      <w:spacing w:before="100" w:beforeAutospacing="1" w:after="100" w:afterAutospacing="1" w:line="240" w:lineRule="auto"/>
    </w:pPr>
    <w:rPr>
      <w:rFonts w:ascii="Times New Roman" w:hAnsi="Times New Roman" w:cs="Times New Roman"/>
      <w:lang w:eastAsia="en-GB"/>
    </w:rPr>
  </w:style>
  <w:style w:type="paragraph" w:styleId="NoSpacing">
    <w:name w:val="No Spacing"/>
    <w:basedOn w:val="Normal"/>
    <w:uiPriority w:val="1"/>
    <w:qFormat/>
    <w:rsid w:val="00942DAD"/>
    <w:pPr>
      <w:spacing w:after="0" w:line="240" w:lineRule="auto"/>
    </w:pPr>
  </w:style>
  <w:style w:type="paragraph" w:styleId="ListParagraph">
    <w:name w:val="List Paragraph"/>
    <w:basedOn w:val="Normal"/>
    <w:uiPriority w:val="34"/>
    <w:qFormat/>
    <w:rsid w:val="00942DAD"/>
    <w:pPr>
      <w:ind w:left="720"/>
      <w:contextualSpacing/>
    </w:pPr>
  </w:style>
  <w:style w:type="paragraph" w:customStyle="1" w:styleId="ydp27e880beyiv7211945953xxmsonormal">
    <w:name w:val="ydp27e880beyiv7211945953xxmsonormal"/>
    <w:basedOn w:val="Normal"/>
    <w:uiPriority w:val="99"/>
    <w:semiHidden/>
    <w:rsid w:val="00942DAD"/>
    <w:pPr>
      <w:spacing w:before="100" w:beforeAutospacing="1" w:after="100" w:afterAutospacing="1" w:line="240" w:lineRule="auto"/>
    </w:pPr>
    <w:rPr>
      <w:rFonts w:ascii="Times New Roman" w:hAnsi="Times New Roman" w:cs="Times New Roman"/>
      <w:lang w:eastAsia="en-GB"/>
    </w:rPr>
  </w:style>
  <w:style w:type="paragraph" w:customStyle="1" w:styleId="xxmsonormal">
    <w:name w:val="x_xmsonormal"/>
    <w:basedOn w:val="Normal"/>
    <w:uiPriority w:val="99"/>
    <w:semiHidden/>
    <w:rsid w:val="00942DAD"/>
    <w:pPr>
      <w:spacing w:after="0" w:line="240" w:lineRule="auto"/>
    </w:pPr>
    <w:rPr>
      <w:rFonts w:ascii="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2k.us1.list-manage.com/track/click?u=3b0eff0a29af2c710133f7daa&amp;id=fa28a0fe0a&amp;e=3a657838db" TargetMode="External"/><Relationship Id="rId13" Type="http://schemas.openxmlformats.org/officeDocument/2006/relationships/hyperlink" Target="mailto:c.parsons@thlc.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can.org.uk/factsheets/" TargetMode="External"/><Relationship Id="rId12" Type="http://schemas.openxmlformats.org/officeDocument/2006/relationships/hyperlink" Target="http://www.thcan.org.uk/advice-agencies-infor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can.org.uk/advice-agencies-information/" TargetMode="External"/><Relationship Id="rId1" Type="http://schemas.openxmlformats.org/officeDocument/2006/relationships/numbering" Target="numbering.xml"/><Relationship Id="rId6" Type="http://schemas.openxmlformats.org/officeDocument/2006/relationships/hyperlink" Target="mailto:jo.ellis@island-advice.org.uk" TargetMode="External"/><Relationship Id="rId11" Type="http://schemas.openxmlformats.org/officeDocument/2006/relationships/hyperlink" Target="mailto:admin@legaladvicecentre.org" TargetMode="External"/><Relationship Id="rId5" Type="http://schemas.openxmlformats.org/officeDocument/2006/relationships/hyperlink" Target="http://www.thcan.org.uk" TargetMode="External"/><Relationship Id="rId15" Type="http://schemas.openxmlformats.org/officeDocument/2006/relationships/hyperlink" Target="mailto:eukandu@eastendcab.org.uk" TargetMode="External"/><Relationship Id="rId10" Type="http://schemas.openxmlformats.org/officeDocument/2006/relationships/hyperlink" Target="mailto:lizzy.hameed@towerhamlets.gov.uk" TargetMode="External"/><Relationship Id="rId4" Type="http://schemas.openxmlformats.org/officeDocument/2006/relationships/webSettings" Target="webSettings.xml"/><Relationship Id="rId9" Type="http://schemas.openxmlformats.org/officeDocument/2006/relationships/hyperlink" Target="https://z2k.us1.list-manage.com/track/click?u=3b0eff0a29af2c710133f7daa&amp;id=3a63051d45&amp;e=3a657838db" TargetMode="External"/><Relationship Id="rId14" Type="http://schemas.openxmlformats.org/officeDocument/2006/relationships/hyperlink" Target="mailto:steph@island-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3</cp:revision>
  <dcterms:created xsi:type="dcterms:W3CDTF">2020-01-17T13:50:00Z</dcterms:created>
  <dcterms:modified xsi:type="dcterms:W3CDTF">2020-01-17T13:52:00Z</dcterms:modified>
</cp:coreProperties>
</file>