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41" w:rsidRPr="00736D41" w:rsidRDefault="00736D41" w:rsidP="00736D41">
      <w:pPr>
        <w:spacing w:line="700" w:lineRule="exact"/>
        <w:rPr>
          <w:rFonts w:ascii="Times New Roman" w:hAnsi="Times New Roman"/>
          <w:color w:val="7030A0"/>
          <w:spacing w:val="9"/>
          <w:sz w:val="28"/>
          <w:szCs w:val="28"/>
        </w:rPr>
      </w:pPr>
      <w:hyperlink r:id="rId8" w:history="1">
        <w:r w:rsidRPr="00736D41">
          <w:rPr>
            <w:rStyle w:val="Hyperlink"/>
            <w:rFonts w:ascii="Times New Roman" w:hAnsi="Times New Roman"/>
            <w:color w:val="7030A0"/>
            <w:spacing w:val="9"/>
            <w:sz w:val="28"/>
            <w:szCs w:val="28"/>
            <w:u w:val="none"/>
          </w:rPr>
          <w:t>www.thcan.org.uk</w:t>
        </w:r>
      </w:hyperlink>
      <w:bookmarkStart w:id="0" w:name="_GoBack"/>
      <w:bookmarkEnd w:id="0"/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736D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-161925</wp:posOffset>
                </wp:positionH>
                <wp:positionV relativeFrom="page">
                  <wp:posOffset>1800225</wp:posOffset>
                </wp:positionV>
                <wp:extent cx="6500495" cy="1356995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356995"/>
                          <a:chOff x="881" y="2419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1" y="2419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8C67" id="Group 16" o:spid="_x0000_s1026" style="position:absolute;margin-left:-12.75pt;margin-top:141.75pt;width:511.85pt;height:106.85pt;z-index:-251658240;mso-position-horizontal-relative:margin;mso-position-vertical-relative:page" coordorigin="881,2419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">
                <v:shape id="Freeform 17" o:spid="_x0000_s1027" style="position:absolute;left:881;top:2419;width:10237;height:2797;visibility:visible;mso-wrap-style:square;v-text-anchor:top" coordsize="10237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fMcIA&#10;AADbAAAADwAAAGRycy9kb3ducmV2LnhtbERPTWvCQBC9F/oflhG8lLppDkVS1xALRS8WjILXMTsm&#10;MdnZkF1N/PeuUOhtHu9zFuloWnGj3tWWFXzMIhDEhdU1lwoO+5/3OQjnkTW2lknBnRyky9eXBSba&#10;DryjW+5LEULYJaig8r5LpHRFRQbdzHbEgTvb3qAPsC+l7nEI4aaVcRR9SoM1h4YKO/quqGjyq1Fw&#10;OtNqyOYX2Ui/3fxe8/XbPT8qNZ2M2RcIT6P/F/+5NzrMj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t8xwgAAANsAAAAPAAAAAAAAAAAAAAAAAJgCAABkcnMvZG93&#10;bnJldi54bWxQSwUGAAAAAAQABAD1AAAAhwM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margin" anchory="page"/>
              </v:group>
            </w:pict>
          </mc:Fallback>
        </mc:AlternateContent>
      </w:r>
    </w:p>
    <w:p w:rsidR="00D94AD9" w:rsidRDefault="00D94AD9">
      <w:pPr>
        <w:spacing w:line="200" w:lineRule="exact"/>
        <w:rPr>
          <w:sz w:val="20"/>
          <w:szCs w:val="20"/>
        </w:rPr>
      </w:pPr>
    </w:p>
    <w:p w:rsidR="0030673A" w:rsidRDefault="00D414A6" w:rsidP="0030673A">
      <w:pPr>
        <w:spacing w:line="700" w:lineRule="exact"/>
        <w:rPr>
          <w:b/>
          <w:color w:val="FFFFFF"/>
          <w:spacing w:val="9"/>
          <w:sz w:val="60"/>
        </w:rPr>
      </w:pPr>
      <w:r>
        <w:rPr>
          <w:b/>
          <w:color w:val="FFFFFF"/>
          <w:spacing w:val="9"/>
          <w:sz w:val="60"/>
        </w:rPr>
        <w:t xml:space="preserve">What triggers a </w:t>
      </w:r>
      <w:r w:rsidR="009D74DE">
        <w:rPr>
          <w:b/>
          <w:color w:val="FFFFFF"/>
          <w:spacing w:val="9"/>
          <w:sz w:val="60"/>
        </w:rPr>
        <w:t>Universal Credit</w:t>
      </w:r>
      <w:r>
        <w:rPr>
          <w:b/>
          <w:color w:val="FFFFFF"/>
          <w:spacing w:val="9"/>
          <w:sz w:val="60"/>
        </w:rPr>
        <w:t xml:space="preserve"> claim? </w:t>
      </w:r>
    </w:p>
    <w:p w:rsidR="00D074D1" w:rsidRPr="007813F0" w:rsidRDefault="00D074D1" w:rsidP="007813F0">
      <w:pPr>
        <w:spacing w:line="700" w:lineRule="exact"/>
        <w:rPr>
          <w:b/>
          <w:color w:val="FFFFFF"/>
          <w:spacing w:val="9"/>
          <w:sz w:val="44"/>
          <w:szCs w:val="44"/>
        </w:rPr>
      </w:pPr>
    </w:p>
    <w:p w:rsidR="00B95E84" w:rsidRPr="002D0E2C" w:rsidRDefault="00D074D1" w:rsidP="001C20ED">
      <w:pPr>
        <w:widowControl/>
        <w:ind w:right="204"/>
        <w:contextualSpacing/>
      </w:pPr>
      <w:r w:rsidRPr="002D0E2C">
        <w:t xml:space="preserve">There is two </w:t>
      </w:r>
      <w:r w:rsidR="006901E8" w:rsidRPr="002D0E2C">
        <w:t>different ways people are moved on to Universal Credit and depending on which group you fall into depends on whether you will benefit from ‘</w:t>
      </w:r>
      <w:r w:rsidR="00934C5E" w:rsidRPr="002D0E2C">
        <w:t xml:space="preserve">transitional protection’. </w:t>
      </w:r>
    </w:p>
    <w:p w:rsidR="00B95E84" w:rsidRPr="002D0E2C" w:rsidRDefault="00B95E84" w:rsidP="001C20ED">
      <w:pPr>
        <w:widowControl/>
        <w:ind w:right="204"/>
        <w:contextualSpacing/>
      </w:pPr>
    </w:p>
    <w:p w:rsidR="00D074D1" w:rsidRPr="002D0E2C" w:rsidRDefault="00934C5E" w:rsidP="001C20ED">
      <w:pPr>
        <w:widowControl/>
        <w:ind w:right="204"/>
        <w:contextualSpacing/>
      </w:pPr>
      <w:r w:rsidRPr="002D0E2C">
        <w:t>Transitional protection is a top-up payment you will receive if your Universal Credit entitlement is less than yo</w:t>
      </w:r>
      <w:r w:rsidR="00B95E84" w:rsidRPr="002D0E2C">
        <w:t xml:space="preserve">ur current benefit entitlement if you have been transferred via ‘managed migration.’ </w:t>
      </w:r>
      <w:r w:rsidR="00DF101D" w:rsidRPr="002D0E2C">
        <w:t xml:space="preserve">This process has started in pilot schemes this year and the government aims to have all claimants transferred over from legacy benefits by 2023. </w:t>
      </w:r>
    </w:p>
    <w:p w:rsidR="00DF101D" w:rsidRPr="002D0E2C" w:rsidRDefault="00DF101D" w:rsidP="001C20ED">
      <w:pPr>
        <w:widowControl/>
        <w:ind w:right="204"/>
        <w:contextualSpacing/>
      </w:pPr>
    </w:p>
    <w:p w:rsidR="00DF101D" w:rsidRPr="002D0E2C" w:rsidRDefault="00DF101D" w:rsidP="001C20ED">
      <w:pPr>
        <w:widowControl/>
        <w:ind w:right="204"/>
        <w:contextualSpacing/>
      </w:pPr>
      <w:r w:rsidRPr="002D0E2C">
        <w:t>Other claimants that have a ‘change in circumstance’ will be moved earlier under ‘natural migration’</w:t>
      </w:r>
      <w:r w:rsidR="00890006" w:rsidRPr="002D0E2C">
        <w:t xml:space="preserve">. Anyone who experiences a changes in circumstance will trigger a new claim to Universal Credit and lose their transitional protection. </w:t>
      </w:r>
    </w:p>
    <w:p w:rsidR="002D0E2C" w:rsidRPr="002D0E2C" w:rsidRDefault="002D0E2C" w:rsidP="001C20ED">
      <w:pPr>
        <w:widowControl/>
        <w:ind w:right="204"/>
        <w:contextualSpacing/>
      </w:pPr>
    </w:p>
    <w:p w:rsidR="002D0E2C" w:rsidRPr="002D0E2C" w:rsidRDefault="002D0E2C" w:rsidP="001C20ED">
      <w:pPr>
        <w:widowControl/>
        <w:ind w:right="204"/>
        <w:contextualSpacing/>
      </w:pPr>
      <w:r w:rsidRPr="002D0E2C">
        <w:t xml:space="preserve">A general rule is that natural migration could be triggered if entitlement to your current benefit ends or you become entitled to a different benefit. It should not happen when you make changes to benefits you are already receiving. </w:t>
      </w:r>
    </w:p>
    <w:p w:rsidR="0088718E" w:rsidRPr="001C20ED" w:rsidRDefault="0088718E" w:rsidP="001C20ED">
      <w:pPr>
        <w:widowControl/>
        <w:ind w:right="204"/>
        <w:contextualSpacing/>
      </w:pP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4933"/>
        <w:gridCol w:w="4935"/>
      </w:tblGrid>
      <w:tr w:rsidR="0088718E" w:rsidTr="009B3C49">
        <w:trPr>
          <w:trHeight w:val="253"/>
        </w:trPr>
        <w:tc>
          <w:tcPr>
            <w:tcW w:w="4933" w:type="dxa"/>
          </w:tcPr>
          <w:p w:rsidR="0088718E" w:rsidRPr="00FA5838" w:rsidRDefault="0088718E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Change of Circumstance </w:t>
            </w:r>
          </w:p>
        </w:tc>
        <w:tc>
          <w:tcPr>
            <w:tcW w:w="4935" w:type="dxa"/>
          </w:tcPr>
          <w:p w:rsidR="0088718E" w:rsidRPr="00FA5838" w:rsidRDefault="0088718E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UC or Legacy Benefit? </w:t>
            </w:r>
          </w:p>
        </w:tc>
      </w:tr>
      <w:tr w:rsidR="0088718E" w:rsidTr="009B3C49">
        <w:trPr>
          <w:trHeight w:val="580"/>
        </w:trPr>
        <w:tc>
          <w:tcPr>
            <w:tcW w:w="4933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receive Working Tax Credit and your hours fall below 16 a week </w:t>
            </w:r>
          </w:p>
        </w:tc>
        <w:tc>
          <w:tcPr>
            <w:tcW w:w="4935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  <w:tr w:rsidR="0088718E" w:rsidTr="009B3C49">
        <w:trPr>
          <w:trHeight w:val="580"/>
        </w:trPr>
        <w:tc>
          <w:tcPr>
            <w:tcW w:w="4933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receive Employment and Support Allowance (IR) and your hours rise above 16 per week </w:t>
            </w:r>
          </w:p>
        </w:tc>
        <w:tc>
          <w:tcPr>
            <w:tcW w:w="4935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  <w:tr w:rsidR="0088718E" w:rsidTr="009B3C49">
        <w:trPr>
          <w:trHeight w:val="543"/>
        </w:trPr>
        <w:tc>
          <w:tcPr>
            <w:tcW w:w="4933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claim Working Tax Credit and your hours increase </w:t>
            </w:r>
          </w:p>
        </w:tc>
        <w:tc>
          <w:tcPr>
            <w:tcW w:w="4935" w:type="dxa"/>
          </w:tcPr>
          <w:p w:rsidR="0088718E" w:rsidRPr="009B3C49" w:rsidRDefault="0088718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Choice – you can remain on WTC or decide to claim UC if </w:t>
            </w:r>
            <w:r w:rsidR="00AE1A54" w:rsidRPr="009B3C49">
              <w:rPr>
                <w:szCs w:val="20"/>
              </w:rPr>
              <w:t>you are better off</w:t>
            </w:r>
          </w:p>
        </w:tc>
      </w:tr>
      <w:tr w:rsidR="00AE1A54" w:rsidTr="009B3C49">
        <w:trPr>
          <w:trHeight w:val="543"/>
        </w:trPr>
        <w:tc>
          <w:tcPr>
            <w:tcW w:w="4933" w:type="dxa"/>
          </w:tcPr>
          <w:p w:rsidR="00AE1A54" w:rsidRPr="009B3C49" w:rsidRDefault="00AE1A5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claim Working Tax Credit and become too ill to able to work </w:t>
            </w:r>
          </w:p>
        </w:tc>
        <w:tc>
          <w:tcPr>
            <w:tcW w:w="4935" w:type="dxa"/>
          </w:tcPr>
          <w:p w:rsidR="00AE1A54" w:rsidRPr="009B3C49" w:rsidRDefault="00AE1A5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  <w:tr w:rsidR="00AE1A54" w:rsidTr="009B3C49">
        <w:trPr>
          <w:trHeight w:val="543"/>
        </w:trPr>
        <w:tc>
          <w:tcPr>
            <w:tcW w:w="4933" w:type="dxa"/>
          </w:tcPr>
          <w:p w:rsidR="00AE1A54" w:rsidRPr="009B3C49" w:rsidRDefault="00AE1A5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receive Child Tax Credit and start work which satisfies the rules for Working Tax Credit </w:t>
            </w:r>
          </w:p>
        </w:tc>
        <w:tc>
          <w:tcPr>
            <w:tcW w:w="4935" w:type="dxa"/>
          </w:tcPr>
          <w:p w:rsidR="00AE1A54" w:rsidRPr="009B3C49" w:rsidRDefault="00E020B8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Choice – remain on WTC or claim UC if you are better off </w:t>
            </w:r>
          </w:p>
        </w:tc>
      </w:tr>
    </w:tbl>
    <w:p w:rsidR="00B245DD" w:rsidRDefault="00B245DD" w:rsidP="00563F37">
      <w:pPr>
        <w:widowControl/>
        <w:ind w:right="204"/>
        <w:contextualSpacing/>
        <w:rPr>
          <w:sz w:val="20"/>
          <w:szCs w:val="20"/>
        </w:rPr>
      </w:pPr>
    </w:p>
    <w:p w:rsidR="00E020B8" w:rsidRDefault="00E020B8" w:rsidP="00563F37">
      <w:pPr>
        <w:widowControl/>
        <w:ind w:right="204"/>
        <w:contextualSpacing/>
        <w:rPr>
          <w:sz w:val="20"/>
          <w:szCs w:val="20"/>
        </w:rPr>
      </w:pPr>
    </w:p>
    <w:p w:rsidR="00E020B8" w:rsidRDefault="00E020B8" w:rsidP="00563F37">
      <w:pPr>
        <w:widowControl/>
        <w:ind w:right="204"/>
        <w:contextualSpacing/>
        <w:rPr>
          <w:sz w:val="28"/>
          <w:szCs w:val="20"/>
        </w:rPr>
      </w:pPr>
      <w:r>
        <w:rPr>
          <w:sz w:val="28"/>
          <w:szCs w:val="20"/>
        </w:rPr>
        <w:t xml:space="preserve">Change of family circumstances  </w:t>
      </w:r>
    </w:p>
    <w:p w:rsidR="00E020B8" w:rsidRPr="00FA5838" w:rsidRDefault="00E020B8" w:rsidP="00563F37">
      <w:pPr>
        <w:widowControl/>
        <w:ind w:right="204"/>
        <w:contextualSpacing/>
        <w:rPr>
          <w:b/>
          <w:sz w:val="28"/>
          <w:szCs w:val="20"/>
        </w:rPr>
      </w:pP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4980"/>
        <w:gridCol w:w="4981"/>
      </w:tblGrid>
      <w:tr w:rsidR="00E020B8" w:rsidRPr="00FA5838" w:rsidTr="009B3C49">
        <w:trPr>
          <w:trHeight w:val="172"/>
        </w:trPr>
        <w:tc>
          <w:tcPr>
            <w:tcW w:w="4980" w:type="dxa"/>
          </w:tcPr>
          <w:p w:rsidR="00E020B8" w:rsidRPr="00FA5838" w:rsidRDefault="00E020B8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Change of Circumstances </w:t>
            </w:r>
          </w:p>
        </w:tc>
        <w:tc>
          <w:tcPr>
            <w:tcW w:w="4981" w:type="dxa"/>
          </w:tcPr>
          <w:p w:rsidR="00E020B8" w:rsidRPr="00FA5838" w:rsidRDefault="00E020B8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UC or Legacy Benefit? </w:t>
            </w:r>
          </w:p>
        </w:tc>
      </w:tr>
      <w:tr w:rsidR="00E020B8" w:rsidTr="009B3C49">
        <w:trPr>
          <w:trHeight w:val="355"/>
        </w:trPr>
        <w:tc>
          <w:tcPr>
            <w:tcW w:w="4980" w:type="dxa"/>
          </w:tcPr>
          <w:p w:rsidR="00E020B8" w:rsidRPr="009B3C49" w:rsidRDefault="00E020B8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claim an income based legacy benefit and you then become responsible for your first child </w:t>
            </w:r>
          </w:p>
        </w:tc>
        <w:tc>
          <w:tcPr>
            <w:tcW w:w="4981" w:type="dxa"/>
          </w:tcPr>
          <w:p w:rsidR="00E020B8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  <w:tr w:rsidR="00E020B8" w:rsidTr="009B3C49">
        <w:trPr>
          <w:trHeight w:val="345"/>
        </w:trPr>
        <w:tc>
          <w:tcPr>
            <w:tcW w:w="4980" w:type="dxa"/>
          </w:tcPr>
          <w:p w:rsidR="00E020B8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lastRenderedPageBreak/>
              <w:t xml:space="preserve">You claim WTC and become responsible for your first child </w:t>
            </w:r>
          </w:p>
        </w:tc>
        <w:tc>
          <w:tcPr>
            <w:tcW w:w="4981" w:type="dxa"/>
          </w:tcPr>
          <w:p w:rsidR="00E020B8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Choice – continue to claim WTC or claim UC </w:t>
            </w:r>
          </w:p>
        </w:tc>
      </w:tr>
      <w:tr w:rsidR="00E020B8" w:rsidTr="009B3C49">
        <w:trPr>
          <w:trHeight w:val="345"/>
        </w:trPr>
        <w:tc>
          <w:tcPr>
            <w:tcW w:w="4980" w:type="dxa"/>
          </w:tcPr>
          <w:p w:rsidR="00E020B8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A single parent who claims income support who’s child then turns 5 </w:t>
            </w:r>
          </w:p>
        </w:tc>
        <w:tc>
          <w:tcPr>
            <w:tcW w:w="4981" w:type="dxa"/>
          </w:tcPr>
          <w:p w:rsidR="00E020B8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(unless you meet other eligibility for IS) </w:t>
            </w:r>
          </w:p>
        </w:tc>
      </w:tr>
      <w:tr w:rsidR="007E5F34" w:rsidTr="009B3C49">
        <w:trPr>
          <w:trHeight w:val="345"/>
        </w:trPr>
        <w:tc>
          <w:tcPr>
            <w:tcW w:w="4980" w:type="dxa"/>
          </w:tcPr>
          <w:p w:rsidR="007E5F34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Currently claim child tax credit and you then have another child </w:t>
            </w:r>
          </w:p>
        </w:tc>
        <w:tc>
          <w:tcPr>
            <w:tcW w:w="4981" w:type="dxa"/>
          </w:tcPr>
          <w:p w:rsidR="007E5F34" w:rsidRPr="009B3C49" w:rsidRDefault="007E5F34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Choice – continue to claim WTC or claim UC</w:t>
            </w:r>
          </w:p>
        </w:tc>
      </w:tr>
    </w:tbl>
    <w:p w:rsidR="00502F3E" w:rsidRDefault="00502F3E" w:rsidP="00563F37">
      <w:pPr>
        <w:widowControl/>
        <w:ind w:right="204"/>
        <w:contextualSpacing/>
        <w:rPr>
          <w:sz w:val="28"/>
          <w:szCs w:val="20"/>
        </w:rPr>
      </w:pPr>
    </w:p>
    <w:p w:rsidR="00502F3E" w:rsidRDefault="00502F3E" w:rsidP="00563F37">
      <w:pPr>
        <w:widowControl/>
        <w:ind w:right="204"/>
        <w:contextualSpacing/>
        <w:rPr>
          <w:sz w:val="28"/>
          <w:szCs w:val="28"/>
        </w:rPr>
      </w:pPr>
      <w:r w:rsidRPr="00ED309C">
        <w:rPr>
          <w:sz w:val="28"/>
          <w:szCs w:val="28"/>
        </w:rPr>
        <w:t xml:space="preserve">A partner leaves or joins the household  </w:t>
      </w:r>
    </w:p>
    <w:p w:rsidR="00ED309C" w:rsidRPr="009B3C49" w:rsidRDefault="00ED309C" w:rsidP="00563F37">
      <w:pPr>
        <w:widowControl/>
        <w:ind w:right="204"/>
        <w:contextualSpacing/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502F3E" w:rsidRPr="009B3C49" w:rsidTr="00502F3E">
        <w:tc>
          <w:tcPr>
            <w:tcW w:w="4865" w:type="dxa"/>
          </w:tcPr>
          <w:p w:rsidR="00502F3E" w:rsidRPr="00FA5838" w:rsidRDefault="00502F3E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Change of Circumstances </w:t>
            </w:r>
          </w:p>
        </w:tc>
        <w:tc>
          <w:tcPr>
            <w:tcW w:w="4866" w:type="dxa"/>
          </w:tcPr>
          <w:p w:rsidR="00502F3E" w:rsidRPr="00FA5838" w:rsidRDefault="00502F3E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UC or legacy benefits? </w:t>
            </w:r>
          </w:p>
        </w:tc>
      </w:tr>
      <w:tr w:rsidR="00502F3E" w:rsidRPr="00D3752D" w:rsidTr="00502F3E">
        <w:tc>
          <w:tcPr>
            <w:tcW w:w="4865" w:type="dxa"/>
          </w:tcPr>
          <w:p w:rsidR="00502F3E" w:rsidRPr="009B3C49" w:rsidRDefault="00502F3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are a couple who claim tax credits who then separate </w:t>
            </w:r>
          </w:p>
          <w:p w:rsidR="00D3752D" w:rsidRPr="009B3C49" w:rsidRDefault="00D3752D" w:rsidP="00563F37">
            <w:pPr>
              <w:widowControl/>
              <w:ind w:right="204"/>
              <w:contextualSpacing/>
              <w:rPr>
                <w:szCs w:val="20"/>
              </w:rPr>
            </w:pPr>
          </w:p>
        </w:tc>
        <w:tc>
          <w:tcPr>
            <w:tcW w:w="4866" w:type="dxa"/>
          </w:tcPr>
          <w:p w:rsidR="00502F3E" w:rsidRPr="009B3C49" w:rsidRDefault="00502F3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Each member of couple should claim UC as a single person </w:t>
            </w:r>
          </w:p>
        </w:tc>
      </w:tr>
      <w:tr w:rsidR="00502F3E" w:rsidRPr="00D3752D" w:rsidTr="00502F3E">
        <w:tc>
          <w:tcPr>
            <w:tcW w:w="4865" w:type="dxa"/>
          </w:tcPr>
          <w:p w:rsidR="00502F3E" w:rsidRPr="009B3C49" w:rsidRDefault="00502F3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are a single parent who then forms a couple with someone who works less than 24 hours a week </w:t>
            </w:r>
          </w:p>
          <w:p w:rsidR="00D3752D" w:rsidRPr="009B3C49" w:rsidRDefault="00D3752D" w:rsidP="00563F37">
            <w:pPr>
              <w:widowControl/>
              <w:ind w:right="204"/>
              <w:contextualSpacing/>
              <w:rPr>
                <w:szCs w:val="20"/>
              </w:rPr>
            </w:pPr>
          </w:p>
        </w:tc>
        <w:tc>
          <w:tcPr>
            <w:tcW w:w="4866" w:type="dxa"/>
          </w:tcPr>
          <w:p w:rsidR="00502F3E" w:rsidRPr="009B3C49" w:rsidRDefault="00502F3E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couple claim </w:t>
            </w:r>
          </w:p>
        </w:tc>
      </w:tr>
      <w:tr w:rsidR="00502F3E" w:rsidRPr="00D3752D" w:rsidTr="00502F3E">
        <w:tc>
          <w:tcPr>
            <w:tcW w:w="4865" w:type="dxa"/>
          </w:tcPr>
          <w:p w:rsidR="00502F3E" w:rsidRPr="009B3C49" w:rsidRDefault="00502F3E" w:rsidP="0065443A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are a single parent on Income Support and Child Tax Credit and you form a couple with </w:t>
            </w:r>
            <w:r w:rsidR="0065443A" w:rsidRPr="009B3C49">
              <w:rPr>
                <w:szCs w:val="20"/>
              </w:rPr>
              <w:t xml:space="preserve">someone </w:t>
            </w:r>
            <w:r w:rsidRPr="009B3C49">
              <w:rPr>
                <w:szCs w:val="20"/>
              </w:rPr>
              <w:t>working more than 24 hours a week</w:t>
            </w:r>
          </w:p>
          <w:p w:rsidR="00D3752D" w:rsidRPr="009B3C49" w:rsidRDefault="00D3752D" w:rsidP="0065443A">
            <w:pPr>
              <w:widowControl/>
              <w:ind w:right="204"/>
              <w:contextualSpacing/>
              <w:rPr>
                <w:szCs w:val="20"/>
              </w:rPr>
            </w:pPr>
          </w:p>
        </w:tc>
        <w:tc>
          <w:tcPr>
            <w:tcW w:w="4866" w:type="dxa"/>
          </w:tcPr>
          <w:p w:rsidR="00502F3E" w:rsidRPr="009B3C49" w:rsidRDefault="0065443A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couple claim </w:t>
            </w:r>
          </w:p>
        </w:tc>
      </w:tr>
      <w:tr w:rsidR="0065443A" w:rsidRPr="00D3752D" w:rsidTr="00502F3E">
        <w:tc>
          <w:tcPr>
            <w:tcW w:w="4865" w:type="dxa"/>
          </w:tcPr>
          <w:p w:rsidR="0065443A" w:rsidRPr="009B3C49" w:rsidRDefault="0065443A" w:rsidP="0065443A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A couple on Jobseeker's Allowance with children under 5 who become lone parents</w:t>
            </w:r>
          </w:p>
          <w:p w:rsidR="00D3752D" w:rsidRPr="009B3C49" w:rsidRDefault="00D3752D" w:rsidP="0065443A">
            <w:pPr>
              <w:widowControl/>
              <w:ind w:right="204"/>
              <w:contextualSpacing/>
              <w:rPr>
                <w:szCs w:val="20"/>
              </w:rPr>
            </w:pPr>
          </w:p>
        </w:tc>
        <w:tc>
          <w:tcPr>
            <w:tcW w:w="4866" w:type="dxa"/>
          </w:tcPr>
          <w:p w:rsidR="0065443A" w:rsidRPr="009B3C49" w:rsidRDefault="0065443A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Each member of couple should claim UC as a single person</w:t>
            </w:r>
          </w:p>
        </w:tc>
      </w:tr>
      <w:tr w:rsidR="0065443A" w:rsidRPr="00D3752D" w:rsidTr="00502F3E">
        <w:tc>
          <w:tcPr>
            <w:tcW w:w="4865" w:type="dxa"/>
          </w:tcPr>
          <w:p w:rsidR="0065443A" w:rsidRPr="009B3C49" w:rsidRDefault="0065443A" w:rsidP="0065443A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A single person under pension age on 'legacy benefits' and you become a couple with person of Pension Credit qualifying age</w:t>
            </w:r>
          </w:p>
          <w:p w:rsidR="00D3752D" w:rsidRPr="009B3C49" w:rsidRDefault="00D3752D" w:rsidP="0065443A">
            <w:pPr>
              <w:widowControl/>
              <w:ind w:right="204"/>
              <w:contextualSpacing/>
              <w:rPr>
                <w:szCs w:val="20"/>
              </w:rPr>
            </w:pPr>
          </w:p>
        </w:tc>
        <w:tc>
          <w:tcPr>
            <w:tcW w:w="4866" w:type="dxa"/>
          </w:tcPr>
          <w:p w:rsidR="0065443A" w:rsidRPr="009B3C49" w:rsidRDefault="00FA3216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couple claim </w:t>
            </w:r>
          </w:p>
        </w:tc>
      </w:tr>
    </w:tbl>
    <w:p w:rsidR="00502F3E" w:rsidRDefault="00502F3E" w:rsidP="00563F37">
      <w:pPr>
        <w:widowControl/>
        <w:ind w:right="204"/>
        <w:contextualSpacing/>
        <w:rPr>
          <w:sz w:val="28"/>
          <w:szCs w:val="20"/>
        </w:rPr>
      </w:pPr>
    </w:p>
    <w:p w:rsidR="00F0186A" w:rsidRDefault="00FA3216" w:rsidP="00563F37">
      <w:pPr>
        <w:widowControl/>
        <w:ind w:right="204"/>
        <w:contextualSpacing/>
        <w:rPr>
          <w:sz w:val="28"/>
          <w:szCs w:val="20"/>
        </w:rPr>
      </w:pPr>
      <w:r>
        <w:rPr>
          <w:sz w:val="28"/>
          <w:szCs w:val="20"/>
        </w:rPr>
        <w:t xml:space="preserve">Starting or ending disability claims </w:t>
      </w:r>
    </w:p>
    <w:p w:rsidR="00FA3216" w:rsidRPr="009B3C49" w:rsidRDefault="00FA3216" w:rsidP="00563F37">
      <w:pPr>
        <w:widowControl/>
        <w:ind w:right="204"/>
        <w:contextualSpacing/>
        <w:rPr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FA3216" w:rsidRPr="009B3C49" w:rsidTr="00FA3216">
        <w:tc>
          <w:tcPr>
            <w:tcW w:w="4865" w:type="dxa"/>
          </w:tcPr>
          <w:p w:rsidR="00FA3216" w:rsidRPr="00FA5838" w:rsidRDefault="00FA3216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Change of Circumstances </w:t>
            </w:r>
          </w:p>
        </w:tc>
        <w:tc>
          <w:tcPr>
            <w:tcW w:w="4866" w:type="dxa"/>
          </w:tcPr>
          <w:p w:rsidR="00FA3216" w:rsidRPr="00FA5838" w:rsidRDefault="00FA3216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UC or Legacy Benefits? </w:t>
            </w:r>
          </w:p>
        </w:tc>
      </w:tr>
      <w:tr w:rsidR="00FA3216" w:rsidRPr="009B3C49" w:rsidTr="00FA3216">
        <w:tc>
          <w:tcPr>
            <w:tcW w:w="4865" w:type="dxa"/>
          </w:tcPr>
          <w:p w:rsidR="00FA3216" w:rsidRPr="009B3C49" w:rsidRDefault="00FA3216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claim (IR) Employment and Support Allowance but you fail a Work Capability Assessment </w:t>
            </w:r>
          </w:p>
        </w:tc>
        <w:tc>
          <w:tcPr>
            <w:tcW w:w="4866" w:type="dxa"/>
          </w:tcPr>
          <w:p w:rsidR="00FA3216" w:rsidRPr="009B3C49" w:rsidRDefault="00FA3216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claim- if you choose to appeal your assessment decision you will still remain on UC. </w:t>
            </w:r>
          </w:p>
          <w:p w:rsidR="00FA3216" w:rsidRPr="009B3C49" w:rsidRDefault="00FA3216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Some claimants should remain on ESA (assessment period entitlement/SDP) – </w:t>
            </w:r>
            <w:r w:rsidRPr="009B3C49">
              <w:rPr>
                <w:b/>
                <w:szCs w:val="20"/>
              </w:rPr>
              <w:t>seek advice</w:t>
            </w:r>
            <w:r w:rsidRPr="009B3C49">
              <w:rPr>
                <w:szCs w:val="20"/>
              </w:rPr>
              <w:t xml:space="preserve"> </w:t>
            </w:r>
          </w:p>
        </w:tc>
      </w:tr>
      <w:tr w:rsidR="00FA3216" w:rsidRPr="009B3C49" w:rsidTr="00FA3216">
        <w:tc>
          <w:tcPr>
            <w:tcW w:w="4865" w:type="dxa"/>
          </w:tcPr>
          <w:p w:rsidR="00FA3216" w:rsidRPr="009B3C49" w:rsidRDefault="00FA3216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Claiming JSA </w:t>
            </w:r>
            <w:r w:rsidR="007813F0" w:rsidRPr="009B3C49">
              <w:rPr>
                <w:szCs w:val="20"/>
              </w:rPr>
              <w:t xml:space="preserve">and you fall ill </w:t>
            </w:r>
          </w:p>
        </w:tc>
        <w:tc>
          <w:tcPr>
            <w:tcW w:w="4866" w:type="dxa"/>
          </w:tcPr>
          <w:p w:rsidR="00FA3216" w:rsidRPr="009B3C49" w:rsidRDefault="007813F0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</w:tbl>
    <w:p w:rsidR="00FA3216" w:rsidRDefault="00FA3216" w:rsidP="00563F37">
      <w:pPr>
        <w:widowControl/>
        <w:ind w:right="204"/>
        <w:contextualSpacing/>
        <w:rPr>
          <w:sz w:val="28"/>
          <w:szCs w:val="20"/>
        </w:rPr>
      </w:pPr>
    </w:p>
    <w:p w:rsidR="007813F0" w:rsidRDefault="007813F0" w:rsidP="00563F37">
      <w:pPr>
        <w:widowControl/>
        <w:ind w:right="204"/>
        <w:contextualSpacing/>
        <w:rPr>
          <w:sz w:val="32"/>
        </w:rPr>
      </w:pPr>
      <w:r w:rsidRPr="009B3C49">
        <w:rPr>
          <w:sz w:val="32"/>
        </w:rPr>
        <w:t xml:space="preserve">Moving home </w:t>
      </w:r>
    </w:p>
    <w:p w:rsidR="009B3C49" w:rsidRPr="009B3C49" w:rsidRDefault="009B3C49" w:rsidP="00563F37">
      <w:pPr>
        <w:widowControl/>
        <w:ind w:right="204"/>
        <w:contextualSpacing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7813F0" w:rsidRPr="009B3C49" w:rsidTr="007813F0">
        <w:tc>
          <w:tcPr>
            <w:tcW w:w="4865" w:type="dxa"/>
          </w:tcPr>
          <w:p w:rsidR="007813F0" w:rsidRPr="00FA5838" w:rsidRDefault="007813F0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Change of Circumstances </w:t>
            </w:r>
          </w:p>
        </w:tc>
        <w:tc>
          <w:tcPr>
            <w:tcW w:w="4866" w:type="dxa"/>
          </w:tcPr>
          <w:p w:rsidR="007813F0" w:rsidRPr="00FA5838" w:rsidRDefault="007813F0" w:rsidP="00563F37">
            <w:pPr>
              <w:widowControl/>
              <w:ind w:right="204"/>
              <w:contextualSpacing/>
              <w:rPr>
                <w:b/>
                <w:szCs w:val="20"/>
              </w:rPr>
            </w:pPr>
            <w:r w:rsidRPr="00FA5838">
              <w:rPr>
                <w:b/>
                <w:szCs w:val="20"/>
              </w:rPr>
              <w:t xml:space="preserve">UC or Legacy Benefits </w:t>
            </w:r>
          </w:p>
        </w:tc>
      </w:tr>
      <w:tr w:rsidR="007813F0" w:rsidRPr="009B3C49" w:rsidTr="007813F0">
        <w:tc>
          <w:tcPr>
            <w:tcW w:w="4865" w:type="dxa"/>
          </w:tcPr>
          <w:p w:rsidR="007813F0" w:rsidRPr="009B3C49" w:rsidRDefault="005225F5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already claim Housing Benefit and you move into a new local authority</w:t>
            </w:r>
          </w:p>
        </w:tc>
        <w:tc>
          <w:tcPr>
            <w:tcW w:w="4866" w:type="dxa"/>
          </w:tcPr>
          <w:p w:rsidR="007813F0" w:rsidRPr="009B3C49" w:rsidRDefault="005225F5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  <w:tr w:rsidR="007813F0" w:rsidRPr="009B3C49" w:rsidTr="007813F0">
        <w:tc>
          <w:tcPr>
            <w:tcW w:w="4865" w:type="dxa"/>
          </w:tcPr>
          <w:p w:rsidR="007813F0" w:rsidRPr="009B3C49" w:rsidRDefault="005225F5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>already claim Housing Benefit and you move within the same local authority</w:t>
            </w:r>
          </w:p>
        </w:tc>
        <w:tc>
          <w:tcPr>
            <w:tcW w:w="4866" w:type="dxa"/>
          </w:tcPr>
          <w:p w:rsidR="007813F0" w:rsidRPr="009B3C49" w:rsidRDefault="00A35EF8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Choice between continuing to receive HB or a new UC claim </w:t>
            </w:r>
          </w:p>
        </w:tc>
      </w:tr>
      <w:tr w:rsidR="007813F0" w:rsidRPr="009B3C49" w:rsidTr="007813F0">
        <w:tc>
          <w:tcPr>
            <w:tcW w:w="4865" w:type="dxa"/>
          </w:tcPr>
          <w:p w:rsidR="007813F0" w:rsidRPr="009B3C49" w:rsidRDefault="00A35EF8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You receive JSA/ESA/IS or Tac credit and start a new tenancy for the first time </w:t>
            </w:r>
          </w:p>
        </w:tc>
        <w:tc>
          <w:tcPr>
            <w:tcW w:w="4866" w:type="dxa"/>
          </w:tcPr>
          <w:p w:rsidR="007813F0" w:rsidRPr="009B3C49" w:rsidRDefault="00A35EF8" w:rsidP="00563F37">
            <w:pPr>
              <w:widowControl/>
              <w:ind w:right="204"/>
              <w:contextualSpacing/>
              <w:rPr>
                <w:szCs w:val="20"/>
              </w:rPr>
            </w:pPr>
            <w:r w:rsidRPr="009B3C49">
              <w:rPr>
                <w:szCs w:val="20"/>
              </w:rPr>
              <w:t xml:space="preserve">UC claim </w:t>
            </w:r>
          </w:p>
        </w:tc>
      </w:tr>
    </w:tbl>
    <w:p w:rsidR="007813F0" w:rsidRPr="00E020B8" w:rsidRDefault="007813F0" w:rsidP="00563F37">
      <w:pPr>
        <w:widowControl/>
        <w:ind w:right="204"/>
        <w:contextualSpacing/>
        <w:rPr>
          <w:sz w:val="28"/>
          <w:szCs w:val="20"/>
        </w:rPr>
      </w:pPr>
    </w:p>
    <w:sectPr w:rsidR="007813F0" w:rsidRPr="00E020B8" w:rsidSect="00317D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40" w:right="1080" w:bottom="1440" w:left="1080" w:header="720" w:footer="720" w:gutter="0"/>
      <w:pgBorders w:offsetFrom="page">
        <w:top w:val="single" w:sz="8" w:space="28" w:color="17365D"/>
        <w:left w:val="single" w:sz="8" w:space="28" w:color="17365D"/>
        <w:bottom w:val="single" w:sz="8" w:space="28" w:color="17365D"/>
        <w:right w:val="single" w:sz="8" w:space="28" w:color="17365D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EE" w:rsidRDefault="00F952EE" w:rsidP="00587EDC">
      <w:r>
        <w:separator/>
      </w:r>
    </w:p>
  </w:endnote>
  <w:endnote w:type="continuationSeparator" w:id="0">
    <w:p w:rsidR="00F952EE" w:rsidRDefault="00F952EE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6" w:rsidRDefault="00FD5F76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F76" w:rsidRDefault="00FD5F76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6" w:rsidRDefault="00FD5F76" w:rsidP="004C3CA2">
    <w:pPr>
      <w:spacing w:line="14" w:lineRule="auto"/>
      <w:ind w:right="360"/>
      <w:rPr>
        <w:sz w:val="20"/>
        <w:szCs w:val="20"/>
      </w:rPr>
    </w:pPr>
  </w:p>
  <w:p w:rsidR="00FD5F76" w:rsidRPr="004C3CA2" w:rsidRDefault="00FD5F76" w:rsidP="004C3CA2">
    <w:pPr>
      <w:pStyle w:val="Footer"/>
      <w:framePr w:wrap="around" w:vAnchor="text" w:hAnchor="page" w:x="11151" w:y="70"/>
      <w:rPr>
        <w:rStyle w:val="PageNumber"/>
        <w:color w:val="262626"/>
      </w:rPr>
    </w:pPr>
    <w:r w:rsidRPr="004C3CA2">
      <w:rPr>
        <w:rStyle w:val="PageNumber"/>
        <w:color w:val="262626"/>
      </w:rPr>
      <w:fldChar w:fldCharType="begin"/>
    </w:r>
    <w:r w:rsidRPr="004C3CA2">
      <w:rPr>
        <w:rStyle w:val="PageNumber"/>
        <w:color w:val="262626"/>
      </w:rPr>
      <w:instrText xml:space="preserve">PAGE  </w:instrText>
    </w:r>
    <w:r w:rsidRPr="004C3CA2">
      <w:rPr>
        <w:rStyle w:val="PageNumber"/>
        <w:color w:val="262626"/>
      </w:rPr>
      <w:fldChar w:fldCharType="separate"/>
    </w:r>
    <w:r w:rsidR="00736D41">
      <w:rPr>
        <w:rStyle w:val="PageNumber"/>
        <w:noProof/>
        <w:color w:val="262626"/>
      </w:rPr>
      <w:t>2</w:t>
    </w:r>
    <w:r w:rsidRPr="004C3CA2">
      <w:rPr>
        <w:rStyle w:val="PageNumber"/>
        <w:color w:val="262626"/>
      </w:rPr>
      <w:fldChar w:fldCharType="end"/>
    </w:r>
  </w:p>
  <w:p w:rsidR="00FD5F76" w:rsidRDefault="00FD5F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10109200</wp:posOffset>
              </wp:positionV>
              <wp:extent cx="4105910" cy="228600"/>
              <wp:effectExtent l="0" t="0" r="889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F76" w:rsidRDefault="00CB500C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UC Triggers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 October 2019</w:t>
                          </w:r>
                        </w:p>
                        <w:p w:rsidR="00FD5F76" w:rsidRDefault="00FD5F76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2pt;margin-top:796pt;width:323.3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Ub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" filled="f" stroked="f">
              <v:textbox inset="0,0,0,0">
                <w:txbxContent>
                  <w:p w:rsidR="00FD5F76" w:rsidRDefault="00CB500C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UC Triggers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|</w:t>
                    </w:r>
                    <w:r w:rsidR="00FD5F76"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©</w:t>
                    </w:r>
                    <w:r w:rsidR="00FD5F76"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 October 2019</w:t>
                    </w:r>
                  </w:p>
                  <w:p w:rsidR="00FD5F76" w:rsidRDefault="00FD5F76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6" w:rsidRPr="00A52133" w:rsidRDefault="00FD5F76" w:rsidP="00CB500C">
    <w:pPr>
      <w:pStyle w:val="Footer"/>
      <w:tabs>
        <w:tab w:val="clear" w:pos="4320"/>
        <w:tab w:val="clear" w:pos="8640"/>
        <w:tab w:val="left" w:pos="337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10109200</wp:posOffset>
              </wp:positionV>
              <wp:extent cx="4052570" cy="146685"/>
              <wp:effectExtent l="0" t="0" r="5080" b="571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F76" w:rsidRDefault="00E80CBB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UC Triggers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 w:rsidR="00FD5F76"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 </w:t>
                          </w:r>
                          <w:r w:rsidR="00CB500C">
                            <w:rPr>
                              <w:rFonts w:ascii="Calibri" w:hAnsi="Calibri"/>
                              <w:color w:val="58595B"/>
                            </w:rPr>
                            <w:t>October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796pt;width:319.1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" filled="f" stroked="f">
              <v:textbox inset="0,0,0,0">
                <w:txbxContent>
                  <w:p w:rsidR="00FD5F76" w:rsidRDefault="00E80CBB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UC Triggers</w:t>
                    </w:r>
                    <w:r w:rsidR="00FD5F76"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|</w:t>
                    </w:r>
                    <w:r w:rsidR="00FD5F76"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©</w:t>
                    </w:r>
                    <w:r w:rsidR="00FD5F76"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FD5F76"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 w:rsidR="00FD5F76"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 </w:t>
                    </w:r>
                    <w:r w:rsidR="00CB500C">
                      <w:rPr>
                        <w:rFonts w:ascii="Calibri" w:hAnsi="Calibri"/>
                        <w:color w:val="58595B"/>
                      </w:rPr>
                      <w:t>October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F76" w:rsidRDefault="00FD5F76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50.8pt;margin-top:796pt;width:7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vfsQIAAK8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" filled="f" stroked="f">
              <v:textbox inset="0,0,0,0">
                <w:txbxContent>
                  <w:p w:rsidR="00FD5F76" w:rsidRDefault="00FD5F76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F76" w:rsidRDefault="00FD5F76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561.25pt;margin-top:796pt;width:.0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" filled="f" stroked="f">
              <v:textbox inset="0,0,0,0">
                <w:txbxContent>
                  <w:p w:rsidR="00FD5F76" w:rsidRDefault="00FD5F76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50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EE" w:rsidRDefault="00F952EE" w:rsidP="00587EDC">
      <w:r>
        <w:separator/>
      </w:r>
    </w:p>
  </w:footnote>
  <w:footnote w:type="continuationSeparator" w:id="0">
    <w:p w:rsidR="00F952EE" w:rsidRDefault="00F952EE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6" w:rsidRDefault="00FD5F76" w:rsidP="009D74DE">
    <w:pPr>
      <w:pStyle w:val="Header"/>
      <w:ind w:left="284"/>
    </w:pPr>
  </w:p>
  <w:p w:rsidR="00FD5F76" w:rsidRDefault="00FD5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6" w:rsidRDefault="00FD5F76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>
          <wp:extent cx="4913630" cy="739775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5213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AA"/>
    <w:multiLevelType w:val="hybridMultilevel"/>
    <w:tmpl w:val="E9A01E7E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401A38"/>
    <w:multiLevelType w:val="hybridMultilevel"/>
    <w:tmpl w:val="79E2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BBC"/>
    <w:multiLevelType w:val="multilevel"/>
    <w:tmpl w:val="6FF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A187E"/>
    <w:multiLevelType w:val="hybridMultilevel"/>
    <w:tmpl w:val="84B8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64C"/>
    <w:multiLevelType w:val="hybridMultilevel"/>
    <w:tmpl w:val="AE56B68A"/>
    <w:lvl w:ilvl="0" w:tplc="66E6D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EA6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AA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8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64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4F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E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A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1CC"/>
    <w:multiLevelType w:val="hybridMultilevel"/>
    <w:tmpl w:val="6D00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41C8"/>
    <w:multiLevelType w:val="hybridMultilevel"/>
    <w:tmpl w:val="9B16037C"/>
    <w:lvl w:ilvl="0" w:tplc="E68080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202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CE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8E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65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A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3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26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6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2C96"/>
    <w:multiLevelType w:val="hybridMultilevel"/>
    <w:tmpl w:val="56B4A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B2D93"/>
    <w:multiLevelType w:val="hybridMultilevel"/>
    <w:tmpl w:val="2A6CDDE0"/>
    <w:lvl w:ilvl="0" w:tplc="60DC3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88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84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C3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89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071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E86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0F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F07"/>
    <w:multiLevelType w:val="hybridMultilevel"/>
    <w:tmpl w:val="AFE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668C4"/>
    <w:multiLevelType w:val="hybridMultilevel"/>
    <w:tmpl w:val="C7C8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73E08"/>
    <w:multiLevelType w:val="hybridMultilevel"/>
    <w:tmpl w:val="D7883F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3F295A"/>
    <w:multiLevelType w:val="hybridMultilevel"/>
    <w:tmpl w:val="0B2AA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D4866"/>
    <w:multiLevelType w:val="hybridMultilevel"/>
    <w:tmpl w:val="55C01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9B5"/>
    <w:multiLevelType w:val="hybridMultilevel"/>
    <w:tmpl w:val="CFF802D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E3F38"/>
    <w:multiLevelType w:val="hybridMultilevel"/>
    <w:tmpl w:val="DBA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44DD"/>
    <w:multiLevelType w:val="hybridMultilevel"/>
    <w:tmpl w:val="2E08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20F1A"/>
    <w:multiLevelType w:val="hybridMultilevel"/>
    <w:tmpl w:val="D33AE112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E6B52"/>
    <w:multiLevelType w:val="hybridMultilevel"/>
    <w:tmpl w:val="CBC26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935DA"/>
    <w:multiLevelType w:val="hybridMultilevel"/>
    <w:tmpl w:val="5B7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1DFB"/>
    <w:multiLevelType w:val="hybridMultilevel"/>
    <w:tmpl w:val="E0BA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C5941"/>
    <w:multiLevelType w:val="hybridMultilevel"/>
    <w:tmpl w:val="96DE4D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EC21CD6"/>
    <w:multiLevelType w:val="hybridMultilevel"/>
    <w:tmpl w:val="C4CC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A2FAC"/>
    <w:multiLevelType w:val="hybridMultilevel"/>
    <w:tmpl w:val="4E489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3"/>
  </w:num>
  <w:num w:numId="5">
    <w:abstractNumId w:val="2"/>
  </w:num>
  <w:num w:numId="6">
    <w:abstractNumId w:val="18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22"/>
  </w:num>
  <w:num w:numId="12">
    <w:abstractNumId w:val="8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23"/>
  </w:num>
  <w:num w:numId="21">
    <w:abstractNumId w:val="12"/>
  </w:num>
  <w:num w:numId="22">
    <w:abstractNumId w:val="9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9D"/>
    <w:rsid w:val="00042898"/>
    <w:rsid w:val="00055294"/>
    <w:rsid w:val="00071148"/>
    <w:rsid w:val="000E23EB"/>
    <w:rsid w:val="000E62AE"/>
    <w:rsid w:val="001065C2"/>
    <w:rsid w:val="0012111C"/>
    <w:rsid w:val="00145DE4"/>
    <w:rsid w:val="00173150"/>
    <w:rsid w:val="001B0A86"/>
    <w:rsid w:val="001C20ED"/>
    <w:rsid w:val="001D3F1D"/>
    <w:rsid w:val="001D4C6F"/>
    <w:rsid w:val="001D6347"/>
    <w:rsid w:val="001F0464"/>
    <w:rsid w:val="00201D18"/>
    <w:rsid w:val="00286C99"/>
    <w:rsid w:val="002D0E2C"/>
    <w:rsid w:val="002D2746"/>
    <w:rsid w:val="003030BC"/>
    <w:rsid w:val="00304C23"/>
    <w:rsid w:val="0030673A"/>
    <w:rsid w:val="00307C63"/>
    <w:rsid w:val="00317DB3"/>
    <w:rsid w:val="00365C07"/>
    <w:rsid w:val="00377AD4"/>
    <w:rsid w:val="003A2603"/>
    <w:rsid w:val="003B639D"/>
    <w:rsid w:val="003D1C3E"/>
    <w:rsid w:val="003E7182"/>
    <w:rsid w:val="003F5896"/>
    <w:rsid w:val="004357C7"/>
    <w:rsid w:val="00480D21"/>
    <w:rsid w:val="00491FDC"/>
    <w:rsid w:val="00493B66"/>
    <w:rsid w:val="004949D2"/>
    <w:rsid w:val="004B013F"/>
    <w:rsid w:val="004C3CA2"/>
    <w:rsid w:val="00502F3E"/>
    <w:rsid w:val="005225F5"/>
    <w:rsid w:val="0053029B"/>
    <w:rsid w:val="00536E35"/>
    <w:rsid w:val="00545C14"/>
    <w:rsid w:val="0055644D"/>
    <w:rsid w:val="00563F37"/>
    <w:rsid w:val="0058046D"/>
    <w:rsid w:val="00587EDC"/>
    <w:rsid w:val="0061140F"/>
    <w:rsid w:val="0061695D"/>
    <w:rsid w:val="006427D2"/>
    <w:rsid w:val="0065443A"/>
    <w:rsid w:val="006901E8"/>
    <w:rsid w:val="00691A7B"/>
    <w:rsid w:val="006A7D33"/>
    <w:rsid w:val="006C4705"/>
    <w:rsid w:val="006E7771"/>
    <w:rsid w:val="00702B37"/>
    <w:rsid w:val="007069E4"/>
    <w:rsid w:val="00736D41"/>
    <w:rsid w:val="00747E4E"/>
    <w:rsid w:val="00753075"/>
    <w:rsid w:val="0076468F"/>
    <w:rsid w:val="007813F0"/>
    <w:rsid w:val="007E5F34"/>
    <w:rsid w:val="00825E7A"/>
    <w:rsid w:val="0088718E"/>
    <w:rsid w:val="00890006"/>
    <w:rsid w:val="00894769"/>
    <w:rsid w:val="008C33E9"/>
    <w:rsid w:val="008D5C5B"/>
    <w:rsid w:val="008D5C92"/>
    <w:rsid w:val="0090568B"/>
    <w:rsid w:val="00921810"/>
    <w:rsid w:val="00934C5E"/>
    <w:rsid w:val="0093614E"/>
    <w:rsid w:val="009575DD"/>
    <w:rsid w:val="00985797"/>
    <w:rsid w:val="00987660"/>
    <w:rsid w:val="00991CA9"/>
    <w:rsid w:val="00994066"/>
    <w:rsid w:val="009B3C49"/>
    <w:rsid w:val="009D0E41"/>
    <w:rsid w:val="009D74DE"/>
    <w:rsid w:val="00A35EF8"/>
    <w:rsid w:val="00A52133"/>
    <w:rsid w:val="00A6611D"/>
    <w:rsid w:val="00A74C8A"/>
    <w:rsid w:val="00AA0DB0"/>
    <w:rsid w:val="00AA7BFE"/>
    <w:rsid w:val="00AD7E46"/>
    <w:rsid w:val="00AE1A54"/>
    <w:rsid w:val="00B245DD"/>
    <w:rsid w:val="00B3365F"/>
    <w:rsid w:val="00B60EBC"/>
    <w:rsid w:val="00B646D4"/>
    <w:rsid w:val="00B95E84"/>
    <w:rsid w:val="00B9728B"/>
    <w:rsid w:val="00BC56BB"/>
    <w:rsid w:val="00C05B92"/>
    <w:rsid w:val="00C15C92"/>
    <w:rsid w:val="00C34797"/>
    <w:rsid w:val="00C3518B"/>
    <w:rsid w:val="00C51A84"/>
    <w:rsid w:val="00C67B29"/>
    <w:rsid w:val="00CB500C"/>
    <w:rsid w:val="00CD09FE"/>
    <w:rsid w:val="00D074D1"/>
    <w:rsid w:val="00D30180"/>
    <w:rsid w:val="00D3752D"/>
    <w:rsid w:val="00D4056C"/>
    <w:rsid w:val="00D414A6"/>
    <w:rsid w:val="00D44820"/>
    <w:rsid w:val="00D5664E"/>
    <w:rsid w:val="00D574B1"/>
    <w:rsid w:val="00D9110E"/>
    <w:rsid w:val="00D94AD9"/>
    <w:rsid w:val="00D961FA"/>
    <w:rsid w:val="00DB53E0"/>
    <w:rsid w:val="00DC24BB"/>
    <w:rsid w:val="00DF101D"/>
    <w:rsid w:val="00E020B8"/>
    <w:rsid w:val="00E11A1A"/>
    <w:rsid w:val="00E464D6"/>
    <w:rsid w:val="00E80CBB"/>
    <w:rsid w:val="00EA3B98"/>
    <w:rsid w:val="00EC5512"/>
    <w:rsid w:val="00ED309C"/>
    <w:rsid w:val="00EE375D"/>
    <w:rsid w:val="00F0186A"/>
    <w:rsid w:val="00F16343"/>
    <w:rsid w:val="00F65743"/>
    <w:rsid w:val="00F952EE"/>
    <w:rsid w:val="00FA3216"/>
    <w:rsid w:val="00FA5838"/>
    <w:rsid w:val="00FC555D"/>
    <w:rsid w:val="00FD5F76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304303-32E7-47E4-B836-AF02302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797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85797"/>
    <w:pPr>
      <w:spacing w:before="51"/>
      <w:ind w:left="104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5797"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985797"/>
  </w:style>
  <w:style w:type="paragraph" w:customStyle="1" w:styleId="TableParagraph">
    <w:name w:val="Table Paragraph"/>
    <w:basedOn w:val="Normal"/>
    <w:uiPriority w:val="1"/>
    <w:qFormat/>
    <w:rsid w:val="00985797"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paragraph" w:styleId="BodyTextIndent">
    <w:name w:val="Body Text Indent"/>
    <w:basedOn w:val="Normal"/>
    <w:link w:val="BodyTextIndentChar"/>
    <w:uiPriority w:val="99"/>
    <w:unhideWhenUsed/>
    <w:rsid w:val="00DC24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24BB"/>
  </w:style>
  <w:style w:type="paragraph" w:styleId="NormalWeb">
    <w:name w:val="Normal (Web)"/>
    <w:basedOn w:val="Normal"/>
    <w:uiPriority w:val="99"/>
    <w:rsid w:val="00DC24B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357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A86"/>
    <w:rPr>
      <w:color w:val="800080"/>
      <w:u w:val="single"/>
    </w:rPr>
  </w:style>
  <w:style w:type="paragraph" w:customStyle="1" w:styleId="Default">
    <w:name w:val="Default"/>
    <w:rsid w:val="009940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659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2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463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73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166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334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51">
          <w:marLeft w:val="288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021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02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265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479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40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953">
          <w:marLeft w:val="138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can.org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mi.k\AppData\Local\Microsoft\Windows\Temporary%20Internet%20Files\Content.Outlook\766I2L96\Universal%20Cr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30992-8C4C-4A03-B869-674B7828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Credit.dot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3744</CharactersWithSpaces>
  <SharedDoc>false</SharedDoc>
  <HLinks>
    <vt:vector size="36" baseType="variant"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http://www.cpag.org.uk/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>http://www.adviceguide.org.uk/</vt:lpwstr>
      </vt:variant>
      <vt:variant>
        <vt:lpwstr/>
      </vt:variant>
      <vt:variant>
        <vt:i4>6750221</vt:i4>
      </vt:variant>
      <vt:variant>
        <vt:i4>12</vt:i4>
      </vt:variant>
      <vt:variant>
        <vt:i4>0</vt:i4>
      </vt:variant>
      <vt:variant>
        <vt:i4>5</vt:i4>
      </vt:variant>
      <vt:variant>
        <vt:lpwstr>http://www.gov.uk/government/uploads/system/uploads/attachment_data/file/181400/personal-budgeting-support-guidance.pdf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http://www.gov.uk/universal-credit-toolkit-for-partner-organisations</vt:lpwstr>
      </vt:variant>
      <vt:variant>
        <vt:lpwstr>the-claimant-commitment</vt:lpwstr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http://www.gov.uk/universal-credit-toolkit-for-partner-organisations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http://www.gov.uk/universal-credit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rumi.k</dc:creator>
  <cp:lastModifiedBy>Suna Mala</cp:lastModifiedBy>
  <cp:revision>2</cp:revision>
  <cp:lastPrinted>2019-10-24T13:21:00Z</cp:lastPrinted>
  <dcterms:created xsi:type="dcterms:W3CDTF">2020-03-12T13:57:00Z</dcterms:created>
  <dcterms:modified xsi:type="dcterms:W3CDTF">2020-03-12T13:57:00Z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