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A572B" w14:textId="77777777" w:rsidR="00D94AD9" w:rsidRDefault="00D94AD9">
      <w:pPr>
        <w:spacing w:line="200" w:lineRule="exact"/>
        <w:rPr>
          <w:sz w:val="20"/>
          <w:szCs w:val="20"/>
        </w:rPr>
      </w:pPr>
    </w:p>
    <w:p w14:paraId="07EF190A" w14:textId="5353772C" w:rsidR="00D94AD9" w:rsidRDefault="00B6698E" w:rsidP="00B6698E">
      <w:pPr>
        <w:tabs>
          <w:tab w:val="left" w:pos="6348"/>
        </w:tabs>
        <w:spacing w:line="200" w:lineRule="exact"/>
        <w:rPr>
          <w:sz w:val="20"/>
          <w:szCs w:val="20"/>
        </w:rPr>
      </w:pPr>
      <w:r>
        <w:rPr>
          <w:sz w:val="20"/>
          <w:szCs w:val="20"/>
        </w:rPr>
        <w:tab/>
      </w:r>
    </w:p>
    <w:p w14:paraId="74459175" w14:textId="440FAC86" w:rsidR="00D94AD9" w:rsidRDefault="006679DF">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14:anchorId="4110D8E1" wp14:editId="300E5DFB">
                <wp:simplePos x="0" y="0"/>
                <wp:positionH relativeFrom="page">
                  <wp:posOffset>487680</wp:posOffset>
                </wp:positionH>
                <wp:positionV relativeFrom="page">
                  <wp:posOffset>1553845</wp:posOffset>
                </wp:positionV>
                <wp:extent cx="6500495" cy="217932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2179320"/>
                          <a:chOff x="773" y="2451"/>
                          <a:chExt cx="10237" cy="3072"/>
                        </a:xfrm>
                        <a:solidFill>
                          <a:srgbClr val="709172"/>
                        </a:solidFill>
                      </wpg:grpSpPr>
                      <wps:wsp>
                        <wps:cNvPr id="12" name="Freeform 17"/>
                        <wps:cNvSpPr>
                          <a:spLocks/>
                        </wps:cNvSpPr>
                        <wps:spPr bwMode="auto">
                          <a:xfrm>
                            <a:off x="773" y="2451"/>
                            <a:ext cx="10237" cy="3072"/>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E76C0" id="Group 16" o:spid="_x0000_s1026" style="position:absolute;margin-left:38.4pt;margin-top:122.35pt;width:511.85pt;height:171.6pt;z-index:-251658240;mso-position-horizontal-relative:page;mso-position-vertical-relative:page" coordorigin="773,2451" coordsize="10237,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">
                <v:shape id="Freeform 17" o:spid="_x0000_s1027" style="position:absolute;left:773;top:2451;width:10237;height:3072;visibility:visible;mso-wrap-style:square;v-text-anchor:top" coordsize="10237,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" path="m,2797r10237,l10237,,,,,2797xe" fillcolor="#574186" stroked="f">
                  <v:path arrowok="t" o:connecttype="custom" o:connectlocs="0,5729;10237,5729;10237,2657;0,2657;0,5729" o:connectangles="0,0,0,0,0"/>
                </v:shape>
                <w10:wrap anchorx="page" anchory="page"/>
              </v:group>
            </w:pict>
          </mc:Fallback>
        </mc:AlternateContent>
      </w:r>
    </w:p>
    <w:p w14:paraId="42FAD130" w14:textId="794F4745" w:rsidR="007F054A" w:rsidRDefault="007F054A" w:rsidP="007F054A">
      <w:pPr>
        <w:tabs>
          <w:tab w:val="left" w:pos="6000"/>
        </w:tabs>
        <w:spacing w:line="200" w:lineRule="exact"/>
        <w:rPr>
          <w:sz w:val="20"/>
          <w:szCs w:val="20"/>
        </w:rPr>
      </w:pPr>
      <w:r>
        <w:rPr>
          <w:sz w:val="20"/>
          <w:szCs w:val="20"/>
        </w:rPr>
        <w:tab/>
      </w:r>
    </w:p>
    <w:p w14:paraId="1B25E586" w14:textId="17E2F7F6" w:rsidR="007F054A" w:rsidRDefault="007F054A" w:rsidP="007F054A">
      <w:pPr>
        <w:tabs>
          <w:tab w:val="left" w:pos="6072"/>
        </w:tabs>
        <w:spacing w:line="200" w:lineRule="exact"/>
        <w:rPr>
          <w:sz w:val="20"/>
          <w:szCs w:val="20"/>
        </w:rPr>
      </w:pPr>
      <w:r>
        <w:rPr>
          <w:sz w:val="20"/>
          <w:szCs w:val="20"/>
        </w:rPr>
        <w:tab/>
      </w:r>
    </w:p>
    <w:p w14:paraId="1CFADECB" w14:textId="128B1A4C" w:rsidR="00B6698E" w:rsidRDefault="00EF1415" w:rsidP="00B6698E">
      <w:pPr>
        <w:spacing w:line="700" w:lineRule="exact"/>
        <w:ind w:left="567"/>
        <w:rPr>
          <w:rFonts w:ascii="Arial" w:hAnsi="Arial" w:cs="Arial"/>
          <w:b/>
          <w:color w:val="FFFFFF"/>
          <w:spacing w:val="9"/>
          <w:sz w:val="60"/>
        </w:rPr>
      </w:pPr>
      <w:r w:rsidRPr="00B6698E">
        <w:rPr>
          <w:rFonts w:ascii="Arial" w:hAnsi="Arial" w:cs="Arial"/>
          <w:b/>
          <w:color w:val="FFFFFF"/>
          <w:spacing w:val="9"/>
          <w:sz w:val="60"/>
        </w:rPr>
        <w:t xml:space="preserve">ESA </w:t>
      </w:r>
      <w:r w:rsidR="00F210FE" w:rsidRPr="00B6698E">
        <w:rPr>
          <w:rFonts w:ascii="Arial" w:hAnsi="Arial" w:cs="Arial"/>
          <w:b/>
          <w:color w:val="FFFFFF"/>
          <w:spacing w:val="9"/>
          <w:sz w:val="60"/>
        </w:rPr>
        <w:t xml:space="preserve">and UC </w:t>
      </w:r>
      <w:r w:rsidRPr="00B6698E">
        <w:rPr>
          <w:rFonts w:ascii="Arial" w:hAnsi="Arial" w:cs="Arial"/>
          <w:b/>
          <w:color w:val="FFFFFF"/>
          <w:spacing w:val="9"/>
          <w:sz w:val="60"/>
        </w:rPr>
        <w:t xml:space="preserve">Appeals: Information for clients who have failed the Work Capability Assessment </w:t>
      </w:r>
    </w:p>
    <w:p w14:paraId="7D7C94C6" w14:textId="77777777" w:rsidR="007F054A" w:rsidRPr="00B6698E" w:rsidRDefault="007F054A" w:rsidP="007F054A">
      <w:pPr>
        <w:spacing w:line="700" w:lineRule="exact"/>
        <w:ind w:left="567"/>
        <w:jc w:val="center"/>
        <w:rPr>
          <w:rFonts w:ascii="Arial" w:hAnsi="Arial" w:cs="Arial"/>
          <w:b/>
          <w:color w:val="FFFFFF"/>
          <w:spacing w:val="9"/>
          <w:sz w:val="60"/>
        </w:rPr>
      </w:pPr>
    </w:p>
    <w:p w14:paraId="538E2D54" w14:textId="77777777" w:rsidR="00EF1415" w:rsidRPr="00B6698E" w:rsidRDefault="00EF1415" w:rsidP="00EF1415">
      <w:pPr>
        <w:spacing w:before="4" w:line="130" w:lineRule="exact"/>
        <w:rPr>
          <w:rFonts w:ascii="Arial" w:hAnsi="Arial" w:cs="Arial"/>
          <w:sz w:val="13"/>
          <w:szCs w:val="13"/>
        </w:rPr>
      </w:pPr>
    </w:p>
    <w:p w14:paraId="257517EA" w14:textId="77777777" w:rsidR="00F83F12" w:rsidRDefault="00F83F12" w:rsidP="006936AC">
      <w:pPr>
        <w:ind w:left="284" w:right="204"/>
        <w:jc w:val="center"/>
        <w:rPr>
          <w:rFonts w:ascii="Arial" w:hAnsi="Arial" w:cs="Arial"/>
        </w:rPr>
      </w:pPr>
    </w:p>
    <w:p w14:paraId="7FE49981" w14:textId="77777777" w:rsidR="001D0FBC" w:rsidRDefault="001D0FBC" w:rsidP="00156FAB">
      <w:pPr>
        <w:ind w:left="284" w:right="204"/>
        <w:jc w:val="both"/>
        <w:rPr>
          <w:rFonts w:ascii="Arial" w:eastAsia="Arial" w:hAnsi="Arial" w:cs="Arial"/>
        </w:rPr>
      </w:pPr>
    </w:p>
    <w:p w14:paraId="6257109B" w14:textId="615E7613" w:rsidR="00156FAB" w:rsidRDefault="00156FAB" w:rsidP="00156FAB">
      <w:pPr>
        <w:ind w:left="284" w:right="204"/>
        <w:jc w:val="both"/>
        <w:rPr>
          <w:rFonts w:ascii="Arial" w:eastAsia="Arial" w:hAnsi="Arial" w:cs="Arial"/>
        </w:rPr>
      </w:pPr>
      <w:r>
        <w:rPr>
          <w:rFonts w:ascii="Arial" w:eastAsia="Arial" w:hAnsi="Arial" w:cs="Arial"/>
        </w:rPr>
        <w:t>This factsheet advises on what to do if you receive a letter to say you are no longer entitled to Employment Support Allowance because you have scored fewer than 15 points in the work capability assessment or</w:t>
      </w:r>
      <w:r w:rsidR="00A547CC">
        <w:rPr>
          <w:rFonts w:ascii="Arial" w:eastAsia="Arial" w:hAnsi="Arial" w:cs="Arial"/>
        </w:rPr>
        <w:t xml:space="preserve"> </w:t>
      </w:r>
      <w:r>
        <w:rPr>
          <w:rFonts w:ascii="Arial" w:eastAsia="Arial" w:hAnsi="Arial" w:cs="Arial"/>
        </w:rPr>
        <w:t xml:space="preserve">a letter/note on your Universal Credit journal stating that you did not achieve 15 points on the work capability assessment and/or that you do not meet any of the requirements for limited capability for work-related activities. In simple terms – the DWP do not consider that you are not able to look for work due to poor health. </w:t>
      </w:r>
    </w:p>
    <w:p w14:paraId="4124EC18" w14:textId="77777777" w:rsidR="00156FAB" w:rsidRDefault="00156FAB" w:rsidP="00156FAB">
      <w:pPr>
        <w:ind w:right="204"/>
        <w:rPr>
          <w:rFonts w:ascii="Arial" w:eastAsia="Arial" w:hAnsi="Arial" w:cs="Arial"/>
        </w:rPr>
      </w:pPr>
    </w:p>
    <w:p w14:paraId="408220C5" w14:textId="77777777" w:rsidR="00156FAB" w:rsidRDefault="00156FAB" w:rsidP="00156FAB">
      <w:pPr>
        <w:ind w:left="284" w:right="204"/>
        <w:rPr>
          <w:rFonts w:ascii="Arial" w:eastAsia="Arial" w:hAnsi="Arial" w:cs="Arial"/>
        </w:rPr>
      </w:pPr>
      <w:r>
        <w:rPr>
          <w:rFonts w:ascii="Arial" w:eastAsia="Arial" w:hAnsi="Arial" w:cs="Arial"/>
        </w:rPr>
        <w:t>In order to pass the first stage of the Work Capability Assessment, you must generally score 15 points for your limitations in carrying out a range of activities summarised below:</w:t>
      </w:r>
    </w:p>
    <w:p w14:paraId="11790AE8" w14:textId="77777777" w:rsidR="00156FAB" w:rsidRDefault="00156FAB" w:rsidP="00156FAB">
      <w:pPr>
        <w:widowControl/>
        <w:pBdr>
          <w:top w:val="nil"/>
          <w:left w:val="nil"/>
          <w:bottom w:val="nil"/>
          <w:right w:val="nil"/>
          <w:between w:val="nil"/>
        </w:pBdr>
        <w:rPr>
          <w:rFonts w:ascii="Arial" w:eastAsia="Arial" w:hAnsi="Arial" w:cs="Arial"/>
          <w:color w:val="000000"/>
        </w:rPr>
      </w:pPr>
    </w:p>
    <w:p w14:paraId="5B300D6A" w14:textId="1B972BD3" w:rsidR="003F413C" w:rsidRDefault="003F413C" w:rsidP="00156FAB">
      <w:pPr>
        <w:widowControl/>
        <w:pBdr>
          <w:top w:val="nil"/>
          <w:left w:val="nil"/>
          <w:bottom w:val="nil"/>
          <w:right w:val="nil"/>
          <w:between w:val="nil"/>
        </w:pBdr>
        <w:rPr>
          <w:rFonts w:ascii="Arial" w:eastAsia="Arial" w:hAnsi="Arial" w:cs="Arial"/>
          <w:color w:val="000000"/>
        </w:rPr>
        <w:sectPr w:rsidR="003F413C">
          <w:headerReference w:type="default" r:id="rId8"/>
          <w:footerReference w:type="even" r:id="rId9"/>
          <w:footerReference w:type="default" r:id="rId10"/>
          <w:headerReference w:type="first" r:id="rId11"/>
          <w:footerReference w:type="first" r:id="rId12"/>
          <w:pgSz w:w="11901" w:h="16840"/>
          <w:pgMar w:top="800" w:right="680" w:bottom="280" w:left="480" w:header="720" w:footer="720" w:gutter="0"/>
          <w:pgNumType w:start="1"/>
          <w:cols w:space="720"/>
          <w:titlePg/>
        </w:sectPr>
      </w:pPr>
    </w:p>
    <w:p w14:paraId="5D7F9245"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Moving around</w:t>
      </w:r>
    </w:p>
    <w:p w14:paraId="021B3717"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Standing or sitting</w:t>
      </w:r>
    </w:p>
    <w:p w14:paraId="691D0E8C"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Reaching</w:t>
      </w:r>
    </w:p>
    <w:p w14:paraId="1AC3FC9C"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Picking things up and moving them</w:t>
      </w:r>
    </w:p>
    <w:p w14:paraId="6BBEBECA"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Using your hands</w:t>
      </w:r>
    </w:p>
    <w:p w14:paraId="0FAA4E96"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Speaking, writing and typing</w:t>
      </w:r>
    </w:p>
    <w:p w14:paraId="13958612"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Hearing or understanding messages</w:t>
      </w:r>
    </w:p>
    <w:p w14:paraId="6A450F24"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Getting around safely</w:t>
      </w:r>
    </w:p>
    <w:p w14:paraId="7662D787"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Control of your bladder, bowels or stoma</w:t>
      </w:r>
    </w:p>
    <w:p w14:paraId="48F3551F"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Staying conscious when awake</w:t>
      </w:r>
    </w:p>
    <w:p w14:paraId="3A156280"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Learning how to do tasks</w:t>
      </w:r>
    </w:p>
    <w:p w14:paraId="617092FA"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Being aware of danger</w:t>
      </w:r>
    </w:p>
    <w:p w14:paraId="36C36FCA"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Starting a task and finishing to the end</w:t>
      </w:r>
    </w:p>
    <w:p w14:paraId="02A4729A"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Coping with changes</w:t>
      </w:r>
    </w:p>
    <w:p w14:paraId="79CD25BB"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Coping with getting about on your own</w:t>
      </w:r>
    </w:p>
    <w:p w14:paraId="4E2D6215" w14:textId="77777777" w:rsidR="00156FAB" w:rsidRDefault="00156FAB" w:rsidP="00156FAB">
      <w:pPr>
        <w:widowControl/>
        <w:numPr>
          <w:ilvl w:val="0"/>
          <w:numId w:val="11"/>
        </w:numPr>
        <w:pBdr>
          <w:top w:val="nil"/>
          <w:left w:val="nil"/>
          <w:bottom w:val="nil"/>
          <w:right w:val="nil"/>
          <w:between w:val="nil"/>
        </w:pBdr>
        <w:rPr>
          <w:color w:val="000000"/>
        </w:rPr>
      </w:pPr>
      <w:r>
        <w:rPr>
          <w:rFonts w:ascii="Arial" w:eastAsia="Arial" w:hAnsi="Arial" w:cs="Arial"/>
          <w:color w:val="000000"/>
        </w:rPr>
        <w:t>Dealing with other people</w:t>
      </w:r>
    </w:p>
    <w:p w14:paraId="3E18A6CE" w14:textId="77777777" w:rsidR="00156FAB" w:rsidRDefault="00156FAB" w:rsidP="00156FAB">
      <w:pPr>
        <w:widowControl/>
        <w:numPr>
          <w:ilvl w:val="0"/>
          <w:numId w:val="11"/>
        </w:numPr>
        <w:pBdr>
          <w:top w:val="nil"/>
          <w:left w:val="nil"/>
          <w:bottom w:val="nil"/>
          <w:right w:val="nil"/>
          <w:between w:val="nil"/>
        </w:pBdr>
        <w:rPr>
          <w:color w:val="000000"/>
        </w:rPr>
        <w:sectPr w:rsidR="00156FAB">
          <w:type w:val="continuous"/>
          <w:pgSz w:w="11901" w:h="16840"/>
          <w:pgMar w:top="800" w:right="680" w:bottom="280" w:left="480" w:header="720" w:footer="720" w:gutter="0"/>
          <w:cols w:num="2" w:space="720" w:equalWidth="0">
            <w:col w:w="5010" w:space="720"/>
            <w:col w:w="5010" w:space="0"/>
          </w:cols>
          <w:titlePg/>
        </w:sectPr>
      </w:pPr>
      <w:r>
        <w:rPr>
          <w:rFonts w:ascii="Arial" w:eastAsia="Arial" w:hAnsi="Arial" w:cs="Arial"/>
          <w:color w:val="000000"/>
        </w:rPr>
        <w:t>Behaviour with other people</w:t>
      </w:r>
    </w:p>
    <w:p w14:paraId="52C40B3F" w14:textId="77777777" w:rsidR="00156FAB" w:rsidRDefault="00156FAB" w:rsidP="00156FAB">
      <w:pPr>
        <w:widowControl/>
        <w:pBdr>
          <w:top w:val="nil"/>
          <w:left w:val="nil"/>
          <w:bottom w:val="nil"/>
          <w:right w:val="nil"/>
          <w:between w:val="nil"/>
        </w:pBdr>
        <w:rPr>
          <w:rFonts w:ascii="Arial" w:eastAsia="Arial" w:hAnsi="Arial" w:cs="Arial"/>
          <w:color w:val="000000"/>
        </w:rPr>
      </w:pPr>
    </w:p>
    <w:p w14:paraId="45F044A1" w14:textId="77777777" w:rsidR="00156FAB" w:rsidRDefault="00156FAB" w:rsidP="00156FAB">
      <w:pPr>
        <w:ind w:left="284"/>
        <w:rPr>
          <w:rFonts w:ascii="Arial" w:eastAsia="Arial" w:hAnsi="Arial" w:cs="Arial"/>
        </w:rPr>
      </w:pPr>
      <w:r>
        <w:rPr>
          <w:rFonts w:ascii="Arial" w:eastAsia="Arial" w:hAnsi="Arial" w:cs="Arial"/>
        </w:rPr>
        <w:t xml:space="preserve">You can be exempt from having to score 15 points in certain </w:t>
      </w:r>
      <w:r>
        <w:rPr>
          <w:rFonts w:ascii="Arial" w:eastAsia="Arial" w:hAnsi="Arial" w:cs="Arial"/>
          <w:b/>
          <w:i/>
        </w:rPr>
        <w:t>exceptional circumstances</w:t>
      </w:r>
    </w:p>
    <w:p w14:paraId="2D85BF0A" w14:textId="77777777" w:rsidR="00156FAB" w:rsidRDefault="00156FAB" w:rsidP="00156FAB">
      <w:pPr>
        <w:ind w:left="284"/>
        <w:rPr>
          <w:rFonts w:ascii="Arial" w:eastAsia="Arial" w:hAnsi="Arial" w:cs="Arial"/>
        </w:rPr>
      </w:pPr>
    </w:p>
    <w:p w14:paraId="7EFEA158" w14:textId="77777777" w:rsidR="00156FAB" w:rsidRDefault="00156FAB" w:rsidP="00156FAB">
      <w:pPr>
        <w:widowControl/>
        <w:numPr>
          <w:ilvl w:val="0"/>
          <w:numId w:val="9"/>
        </w:numPr>
        <w:pBdr>
          <w:top w:val="nil"/>
          <w:left w:val="nil"/>
          <w:bottom w:val="nil"/>
          <w:right w:val="nil"/>
          <w:between w:val="nil"/>
        </w:pBdr>
        <w:rPr>
          <w:color w:val="000000"/>
        </w:rPr>
      </w:pPr>
      <w:r>
        <w:rPr>
          <w:rFonts w:ascii="Arial" w:eastAsia="Arial" w:hAnsi="Arial" w:cs="Arial"/>
          <w:color w:val="000000"/>
        </w:rPr>
        <w:t>You have a terminal illness;</w:t>
      </w:r>
    </w:p>
    <w:p w14:paraId="0980AE73" w14:textId="77777777" w:rsidR="00156FAB" w:rsidRDefault="00156FAB" w:rsidP="00156FAB">
      <w:pPr>
        <w:widowControl/>
        <w:numPr>
          <w:ilvl w:val="0"/>
          <w:numId w:val="9"/>
        </w:numPr>
        <w:pBdr>
          <w:top w:val="nil"/>
          <w:left w:val="nil"/>
          <w:bottom w:val="nil"/>
          <w:right w:val="nil"/>
          <w:between w:val="nil"/>
        </w:pBdr>
        <w:ind w:right="204"/>
        <w:rPr>
          <w:color w:val="000000"/>
        </w:rPr>
      </w:pPr>
      <w:r>
        <w:rPr>
          <w:rFonts w:ascii="Arial" w:eastAsia="Arial" w:hAnsi="Arial" w:cs="Arial"/>
          <w:color w:val="000000"/>
        </w:rPr>
        <w:t>You are receiving chemotherapy or radiotherapy for cancer, are recovering from such treatment, or are expecting to receive such treatment in the next six months;</w:t>
      </w:r>
    </w:p>
    <w:p w14:paraId="28B12076" w14:textId="77777777" w:rsidR="00156FAB" w:rsidRDefault="00156FAB" w:rsidP="00156FAB">
      <w:pPr>
        <w:widowControl/>
        <w:numPr>
          <w:ilvl w:val="0"/>
          <w:numId w:val="9"/>
        </w:numPr>
        <w:pBdr>
          <w:top w:val="nil"/>
          <w:left w:val="nil"/>
          <w:bottom w:val="nil"/>
          <w:right w:val="nil"/>
          <w:between w:val="nil"/>
        </w:pBdr>
        <w:ind w:right="204"/>
        <w:rPr>
          <w:color w:val="000000"/>
        </w:rPr>
      </w:pPr>
      <w:r>
        <w:rPr>
          <w:rFonts w:ascii="Arial" w:eastAsia="Arial" w:hAnsi="Arial" w:cs="Arial"/>
          <w:color w:val="000000"/>
        </w:rPr>
        <w:t>You are suffering from a specific disease or disablement because of which there would be a substantial risk to your mental or physical health or to the mental or physical health of someone else if you were found not to have limited capability for work-related activity;</w:t>
      </w:r>
    </w:p>
    <w:p w14:paraId="2E370890" w14:textId="77777777" w:rsidR="00156FAB" w:rsidRDefault="00156FAB" w:rsidP="00156FAB">
      <w:pPr>
        <w:widowControl/>
        <w:numPr>
          <w:ilvl w:val="0"/>
          <w:numId w:val="9"/>
        </w:numPr>
        <w:pBdr>
          <w:top w:val="nil"/>
          <w:left w:val="nil"/>
          <w:bottom w:val="nil"/>
          <w:right w:val="nil"/>
          <w:between w:val="nil"/>
        </w:pBdr>
        <w:spacing w:after="200"/>
        <w:rPr>
          <w:color w:val="000000"/>
        </w:rPr>
      </w:pPr>
      <w:r>
        <w:rPr>
          <w:rFonts w:ascii="Arial" w:eastAsia="Arial" w:hAnsi="Arial" w:cs="Arial"/>
          <w:color w:val="000000"/>
        </w:rPr>
        <w:t>You are pregnant and there would be serious risk of damage to your health or your baby’s health if you have to carry out work-related activity.</w:t>
      </w:r>
    </w:p>
    <w:p w14:paraId="105050E9" w14:textId="77777777" w:rsidR="00156FAB" w:rsidRDefault="00156FAB" w:rsidP="00156FAB">
      <w:pPr>
        <w:ind w:left="284"/>
        <w:rPr>
          <w:rFonts w:ascii="Arial" w:eastAsia="Arial" w:hAnsi="Arial" w:cs="Arial"/>
          <w:b/>
          <w:i/>
        </w:rPr>
      </w:pPr>
    </w:p>
    <w:p w14:paraId="24F6B7D6" w14:textId="1D3606FC" w:rsidR="000E00D5" w:rsidRPr="001D0FBC" w:rsidRDefault="00156FAB" w:rsidP="001D0FBC">
      <w:pPr>
        <w:ind w:left="284"/>
        <w:rPr>
          <w:rFonts w:ascii="Arial" w:eastAsia="Arial" w:hAnsi="Arial" w:cs="Arial"/>
          <w:b/>
          <w:i/>
        </w:rPr>
      </w:pPr>
      <w:r>
        <w:rPr>
          <w:rFonts w:ascii="Arial" w:eastAsia="Arial" w:hAnsi="Arial" w:cs="Arial"/>
          <w:b/>
          <w:i/>
        </w:rPr>
        <w:t>If you think you should be in one of these groups, you will need to provide evidence to support the fact (e.g., doctor’s letter). Other situations may meet these criteria but there are not all covered here.</w:t>
      </w:r>
    </w:p>
    <w:p w14:paraId="74FC5193" w14:textId="77777777" w:rsidR="00156FAB" w:rsidRDefault="00156FAB" w:rsidP="00156FAB">
      <w:pPr>
        <w:ind w:left="284"/>
        <w:rPr>
          <w:rFonts w:ascii="Arial" w:eastAsia="Arial" w:hAnsi="Arial" w:cs="Arial"/>
          <w:b/>
          <w:u w:val="single"/>
        </w:rPr>
      </w:pPr>
      <w:r>
        <w:rPr>
          <w:rFonts w:ascii="Arial" w:eastAsia="Arial" w:hAnsi="Arial" w:cs="Arial"/>
          <w:b/>
          <w:u w:val="single"/>
        </w:rPr>
        <w:lastRenderedPageBreak/>
        <w:t>After you have had a Work Capability Assessment there are three possible outcomes</w:t>
      </w:r>
    </w:p>
    <w:p w14:paraId="0ED2798E" w14:textId="77777777" w:rsidR="00156FAB" w:rsidRDefault="00156FAB" w:rsidP="00156FAB">
      <w:pPr>
        <w:ind w:left="284"/>
        <w:rPr>
          <w:rFonts w:ascii="Arial" w:eastAsia="Arial" w:hAnsi="Arial" w:cs="Arial"/>
        </w:rPr>
      </w:pPr>
    </w:p>
    <w:p w14:paraId="006B243E" w14:textId="77777777" w:rsidR="00A32DA3" w:rsidRPr="00910650" w:rsidRDefault="00A32DA3" w:rsidP="00A32DA3">
      <w:pPr>
        <w:widowControl/>
        <w:numPr>
          <w:ilvl w:val="0"/>
          <w:numId w:val="12"/>
        </w:numPr>
        <w:pBdr>
          <w:top w:val="nil"/>
          <w:left w:val="nil"/>
          <w:bottom w:val="nil"/>
          <w:right w:val="nil"/>
          <w:between w:val="nil"/>
        </w:pBdr>
        <w:spacing w:before="240" w:after="240"/>
        <w:ind w:right="204"/>
        <w:rPr>
          <w:color w:val="000000"/>
        </w:rPr>
      </w:pPr>
      <w:r>
        <w:rPr>
          <w:rFonts w:ascii="Arial" w:eastAsia="Arial" w:hAnsi="Arial" w:cs="Arial"/>
          <w:color w:val="000000"/>
        </w:rPr>
        <w:t xml:space="preserve">You </w:t>
      </w:r>
      <w:r>
        <w:rPr>
          <w:rFonts w:ascii="Arial" w:eastAsia="Arial" w:hAnsi="Arial" w:cs="Arial"/>
          <w:b/>
          <w:i/>
          <w:color w:val="000000"/>
        </w:rPr>
        <w:t>scored 15 points or more</w:t>
      </w:r>
      <w:r>
        <w:rPr>
          <w:rFonts w:ascii="Arial" w:eastAsia="Arial" w:hAnsi="Arial" w:cs="Arial"/>
          <w:color w:val="000000"/>
        </w:rPr>
        <w:t xml:space="preserve"> and it has been decided that you are incapable of any work-related activity. </w:t>
      </w:r>
      <w:r w:rsidRPr="00910650">
        <w:rPr>
          <w:rFonts w:ascii="Arial" w:eastAsia="Arial" w:hAnsi="Arial" w:cs="Arial"/>
          <w:color w:val="000000"/>
        </w:rPr>
        <w:t>If you are on ESA you will be placed in the support group</w:t>
      </w:r>
      <w:r>
        <w:rPr>
          <w:rFonts w:ascii="Arial" w:eastAsia="Arial" w:hAnsi="Arial" w:cs="Arial"/>
          <w:color w:val="000000"/>
        </w:rPr>
        <w:t>;</w:t>
      </w:r>
      <w:r w:rsidRPr="00910650">
        <w:rPr>
          <w:rFonts w:ascii="Arial" w:eastAsia="Arial" w:hAnsi="Arial" w:cs="Arial"/>
          <w:color w:val="000000"/>
        </w:rPr>
        <w:t xml:space="preserve"> if you are claiming Universal Credit you will be placed in the LCWRA group. You do not need to do anything and will get paid an additional amount. </w:t>
      </w:r>
      <w:r w:rsidRPr="00910650">
        <w:rPr>
          <w:rFonts w:ascii="Arial" w:eastAsia="Arial" w:hAnsi="Arial" w:cs="Arial"/>
          <w:b/>
          <w:i/>
          <w:color w:val="000000"/>
        </w:rPr>
        <w:t>You could be automatically placed in these groups if you meet any of the exceptional circumstances mentioned above.</w:t>
      </w:r>
      <w:r w:rsidRPr="00910650">
        <w:rPr>
          <w:rFonts w:ascii="Arial" w:eastAsia="Arial" w:hAnsi="Arial" w:cs="Arial"/>
          <w:color w:val="000000"/>
        </w:rPr>
        <w:t xml:space="preserve"> </w:t>
      </w:r>
    </w:p>
    <w:p w14:paraId="49786051" w14:textId="1A363AE1" w:rsidR="00A32DA3" w:rsidRPr="00A32DA3" w:rsidRDefault="00156FAB" w:rsidP="00A32DA3">
      <w:pPr>
        <w:widowControl/>
        <w:numPr>
          <w:ilvl w:val="0"/>
          <w:numId w:val="12"/>
        </w:numPr>
        <w:pBdr>
          <w:top w:val="nil"/>
          <w:left w:val="nil"/>
          <w:bottom w:val="nil"/>
          <w:right w:val="nil"/>
          <w:between w:val="nil"/>
        </w:pBdr>
        <w:spacing w:before="240" w:after="240"/>
        <w:rPr>
          <w:color w:val="000000"/>
        </w:rPr>
      </w:pPr>
      <w:r>
        <w:rPr>
          <w:rFonts w:ascii="Arial" w:eastAsia="Arial" w:hAnsi="Arial" w:cs="Arial"/>
          <w:color w:val="000000"/>
        </w:rPr>
        <w:t xml:space="preserve">You </w:t>
      </w:r>
      <w:r>
        <w:rPr>
          <w:rFonts w:ascii="Arial" w:eastAsia="Arial" w:hAnsi="Arial" w:cs="Arial"/>
          <w:b/>
          <w:i/>
          <w:color w:val="000000"/>
        </w:rPr>
        <w:t xml:space="preserve">scored more than 15 points </w:t>
      </w:r>
      <w:r>
        <w:rPr>
          <w:rFonts w:ascii="Arial" w:eastAsia="Arial" w:hAnsi="Arial" w:cs="Arial"/>
          <w:color w:val="000000"/>
        </w:rPr>
        <w:t xml:space="preserve">and it has been decided that you have limited capability for work but need to take steps to prepare for work in the future. </w:t>
      </w:r>
      <w:r w:rsidRPr="00910650">
        <w:rPr>
          <w:rFonts w:ascii="Arial" w:eastAsia="Arial" w:hAnsi="Arial" w:cs="Arial"/>
          <w:color w:val="000000"/>
        </w:rPr>
        <w:t>You will be required to take part in work-related activities</w:t>
      </w:r>
      <w:r w:rsidR="00DF76A3">
        <w:rPr>
          <w:rFonts w:ascii="Arial" w:eastAsia="Arial" w:hAnsi="Arial" w:cs="Arial"/>
          <w:color w:val="000000"/>
        </w:rPr>
        <w:t>,</w:t>
      </w:r>
      <w:r w:rsidR="002704BB">
        <w:rPr>
          <w:rFonts w:ascii="Arial" w:eastAsia="Arial" w:hAnsi="Arial" w:cs="Arial"/>
          <w:color w:val="000000"/>
        </w:rPr>
        <w:t xml:space="preserve"> </w:t>
      </w:r>
      <w:r w:rsidRPr="00910650">
        <w:rPr>
          <w:rFonts w:ascii="Arial" w:eastAsia="Arial" w:hAnsi="Arial" w:cs="Arial"/>
          <w:color w:val="000000"/>
        </w:rPr>
        <w:t>no compliance could lead to sanctions</w:t>
      </w:r>
      <w:r w:rsidR="002704BB">
        <w:rPr>
          <w:rFonts w:ascii="Arial" w:eastAsia="Arial" w:hAnsi="Arial" w:cs="Arial"/>
          <w:color w:val="000000"/>
        </w:rPr>
        <w:t xml:space="preserve"> </w:t>
      </w:r>
      <w:r w:rsidR="002704BB" w:rsidRPr="002704BB">
        <w:rPr>
          <w:rFonts w:ascii="Arial" w:eastAsia="Arial" w:hAnsi="Arial" w:cs="Arial"/>
          <w:color w:val="000000"/>
        </w:rPr>
        <w:t>(benefit stopped/reduced</w:t>
      </w:r>
      <w:r w:rsidRPr="00910650">
        <w:rPr>
          <w:rFonts w:ascii="Arial" w:eastAsia="Arial" w:hAnsi="Arial" w:cs="Arial"/>
          <w:color w:val="000000"/>
        </w:rPr>
        <w:t>) and you will only be paid an additional amount if you were receiving ESA before 3 April 2017.</w:t>
      </w:r>
      <w:r w:rsidR="00A32DA3" w:rsidRPr="00A32DA3">
        <w:rPr>
          <w:rFonts w:ascii="Arial" w:eastAsia="Arial" w:hAnsi="Arial" w:cs="Arial"/>
          <w:color w:val="000000"/>
        </w:rPr>
        <w:t xml:space="preserve"> </w:t>
      </w:r>
    </w:p>
    <w:p w14:paraId="4DF7B63A" w14:textId="38C44E03" w:rsidR="00156FAB" w:rsidRPr="00A32DA3" w:rsidRDefault="00A32DA3" w:rsidP="00A32DA3">
      <w:pPr>
        <w:widowControl/>
        <w:numPr>
          <w:ilvl w:val="0"/>
          <w:numId w:val="12"/>
        </w:numPr>
        <w:pBdr>
          <w:top w:val="nil"/>
          <w:left w:val="nil"/>
          <w:bottom w:val="nil"/>
          <w:right w:val="nil"/>
          <w:between w:val="nil"/>
        </w:pBdr>
        <w:spacing w:before="240" w:after="240"/>
        <w:rPr>
          <w:color w:val="000000"/>
        </w:rPr>
      </w:pPr>
      <w:r>
        <w:rPr>
          <w:rFonts w:ascii="Arial" w:eastAsia="Arial" w:hAnsi="Arial" w:cs="Arial"/>
          <w:color w:val="000000"/>
        </w:rPr>
        <w:t xml:space="preserve">You </w:t>
      </w:r>
      <w:r>
        <w:rPr>
          <w:rFonts w:ascii="Arial" w:eastAsia="Arial" w:hAnsi="Arial" w:cs="Arial"/>
          <w:b/>
          <w:i/>
          <w:color w:val="000000"/>
        </w:rPr>
        <w:t>scored fewer than 15 points</w:t>
      </w:r>
      <w:r>
        <w:rPr>
          <w:rFonts w:ascii="Arial" w:eastAsia="Arial" w:hAnsi="Arial" w:cs="Arial"/>
          <w:color w:val="000000"/>
        </w:rPr>
        <w:t xml:space="preserve"> and it has been decided that you are </w:t>
      </w:r>
      <w:r w:rsidR="000D7AA5">
        <w:rPr>
          <w:rFonts w:ascii="Arial" w:eastAsia="Arial" w:hAnsi="Arial" w:cs="Arial"/>
          <w:color w:val="000000"/>
        </w:rPr>
        <w:t>capable of</w:t>
      </w:r>
      <w:r>
        <w:rPr>
          <w:rFonts w:ascii="Arial" w:eastAsia="Arial" w:hAnsi="Arial" w:cs="Arial"/>
          <w:color w:val="000000"/>
        </w:rPr>
        <w:t xml:space="preserve"> work. If you are on ESA your benefit </w:t>
      </w:r>
      <w:r w:rsidRPr="00660A94">
        <w:rPr>
          <w:rFonts w:ascii="Arial" w:eastAsia="Arial" w:hAnsi="Arial" w:cs="Arial"/>
          <w:color w:val="000000"/>
        </w:rPr>
        <w:t xml:space="preserve">stops, and you may need to claim Universal Credit. If you are already claiming Universal Credit you </w:t>
      </w:r>
      <w:r>
        <w:rPr>
          <w:rFonts w:ascii="Arial" w:eastAsia="Arial" w:hAnsi="Arial" w:cs="Arial"/>
          <w:color w:val="000000"/>
        </w:rPr>
        <w:t>will</w:t>
      </w:r>
      <w:r w:rsidRPr="00660A94">
        <w:rPr>
          <w:rFonts w:ascii="Arial" w:eastAsia="Arial" w:hAnsi="Arial" w:cs="Arial"/>
          <w:color w:val="000000"/>
        </w:rPr>
        <w:t xml:space="preserve"> have to be actively looking for work, or you could be sanctioned.</w:t>
      </w:r>
    </w:p>
    <w:p w14:paraId="08B3B4CD" w14:textId="77777777" w:rsidR="00156FAB" w:rsidRDefault="00156FAB" w:rsidP="00156FAB">
      <w:pPr>
        <w:ind w:left="284" w:right="204"/>
        <w:rPr>
          <w:rFonts w:ascii="Arial" w:eastAsia="Arial" w:hAnsi="Arial" w:cs="Arial"/>
          <w:b/>
          <w:u w:val="single"/>
        </w:rPr>
      </w:pPr>
      <w:r>
        <w:rPr>
          <w:rFonts w:ascii="Arial" w:eastAsia="Arial" w:hAnsi="Arial" w:cs="Arial"/>
          <w:b/>
          <w:u w:val="single"/>
        </w:rPr>
        <w:t>What to do if you disagree with the decision</w:t>
      </w:r>
    </w:p>
    <w:p w14:paraId="712BD3B1" w14:textId="77777777" w:rsidR="00156FAB" w:rsidRDefault="00156FAB" w:rsidP="00156FAB">
      <w:pPr>
        <w:ind w:left="284" w:right="204"/>
        <w:rPr>
          <w:rFonts w:ascii="Arial" w:eastAsia="Arial" w:hAnsi="Arial" w:cs="Arial"/>
          <w:b/>
          <w:u w:val="single"/>
        </w:rPr>
      </w:pPr>
    </w:p>
    <w:p w14:paraId="3965287C" w14:textId="77777777" w:rsidR="00156FAB" w:rsidRDefault="00156FAB" w:rsidP="00156FAB">
      <w:pPr>
        <w:widowControl/>
        <w:pBdr>
          <w:top w:val="nil"/>
          <w:left w:val="nil"/>
          <w:bottom w:val="nil"/>
          <w:right w:val="nil"/>
          <w:between w:val="nil"/>
        </w:pBdr>
        <w:ind w:left="284" w:right="204"/>
        <w:rPr>
          <w:rFonts w:ascii="Arial" w:eastAsia="Arial" w:hAnsi="Arial" w:cs="Arial"/>
          <w:color w:val="000000"/>
        </w:rPr>
      </w:pPr>
      <w:r>
        <w:rPr>
          <w:rFonts w:ascii="Arial" w:eastAsia="Arial" w:hAnsi="Arial" w:cs="Arial"/>
          <w:b/>
          <w:color w:val="000000"/>
        </w:rPr>
        <w:t xml:space="preserve">Mandatory Reconsiderations </w:t>
      </w:r>
    </w:p>
    <w:p w14:paraId="78CEE832" w14:textId="77777777" w:rsidR="00156FAB" w:rsidRDefault="00156FAB" w:rsidP="00156FAB">
      <w:pPr>
        <w:widowControl/>
        <w:pBdr>
          <w:top w:val="nil"/>
          <w:left w:val="nil"/>
          <w:bottom w:val="nil"/>
          <w:right w:val="nil"/>
          <w:between w:val="nil"/>
        </w:pBdr>
        <w:ind w:left="284" w:right="204"/>
        <w:rPr>
          <w:rFonts w:ascii="Arial" w:eastAsia="Arial" w:hAnsi="Arial" w:cs="Arial"/>
          <w:color w:val="000000"/>
        </w:rPr>
      </w:pPr>
    </w:p>
    <w:p w14:paraId="34AECD7C" w14:textId="004998C2" w:rsidR="00156FAB" w:rsidRDefault="00156FAB" w:rsidP="00156FAB">
      <w:pPr>
        <w:widowControl/>
        <w:pBdr>
          <w:top w:val="nil"/>
          <w:left w:val="nil"/>
          <w:bottom w:val="nil"/>
          <w:right w:val="nil"/>
          <w:between w:val="nil"/>
        </w:pBdr>
        <w:ind w:left="284" w:right="204"/>
        <w:rPr>
          <w:rFonts w:ascii="Consolas" w:eastAsia="Consolas" w:hAnsi="Consolas" w:cs="Consolas"/>
          <w:color w:val="000000"/>
          <w:sz w:val="21"/>
          <w:szCs w:val="21"/>
        </w:rPr>
      </w:pPr>
      <w:r>
        <w:rPr>
          <w:rFonts w:ascii="Arial" w:eastAsia="Arial" w:hAnsi="Arial" w:cs="Arial"/>
          <w:color w:val="000000"/>
        </w:rPr>
        <w:t>If you think the WCA decision is wrong, you can ask the DWP to look at it again. All cases have to be ‘reconsidered’ by the DWP before the case can be appealed. Remember the deadline to reconsider is ONE MONTH from the date on the decision letter (or note in UC journal) that refuses benefit so do not delay in requesting a reconsideration. Ideally put this in writing, either by post or</w:t>
      </w:r>
      <w:r>
        <w:rPr>
          <w:rFonts w:ascii="Arial" w:eastAsia="Arial" w:hAnsi="Arial" w:cs="Arial"/>
        </w:rPr>
        <w:t xml:space="preserve"> </w:t>
      </w:r>
      <w:r w:rsidR="006F4250" w:rsidRPr="006F4250">
        <w:rPr>
          <w:rFonts w:ascii="Arial" w:eastAsia="Arial" w:hAnsi="Arial" w:cs="Arial"/>
        </w:rPr>
        <w:t>add a note t</w:t>
      </w:r>
      <w:r w:rsidR="006F4250">
        <w:rPr>
          <w:rFonts w:ascii="Arial" w:eastAsia="Arial" w:hAnsi="Arial" w:cs="Arial"/>
        </w:rPr>
        <w:t>o</w:t>
      </w:r>
      <w:r>
        <w:rPr>
          <w:rFonts w:ascii="Arial" w:eastAsia="Arial" w:hAnsi="Arial" w:cs="Arial"/>
        </w:rPr>
        <w:t xml:space="preserve"> </w:t>
      </w:r>
      <w:r>
        <w:rPr>
          <w:rFonts w:ascii="Arial" w:eastAsia="Arial" w:hAnsi="Arial" w:cs="Arial"/>
          <w:color w:val="000000"/>
        </w:rPr>
        <w:t>your UC journa</w:t>
      </w:r>
      <w:r>
        <w:rPr>
          <w:rFonts w:ascii="Arial" w:eastAsia="Arial" w:hAnsi="Arial" w:cs="Arial"/>
        </w:rPr>
        <w:t>l. You</w:t>
      </w:r>
      <w:r>
        <w:rPr>
          <w:rFonts w:ascii="Arial" w:eastAsia="Arial" w:hAnsi="Arial" w:cs="Arial"/>
          <w:color w:val="000000"/>
        </w:rPr>
        <w:t xml:space="preserve"> can also phone the number on the top of the letter and verbally request a reconsideration, make a note of the day/time/person spoke to. The </w:t>
      </w:r>
      <w:r>
        <w:rPr>
          <w:rFonts w:ascii="Arial" w:eastAsia="Arial" w:hAnsi="Arial" w:cs="Arial"/>
          <w:color w:val="000000"/>
          <w:sz w:val="21"/>
          <w:szCs w:val="21"/>
        </w:rPr>
        <w:t>DWP will carry out an internal review of the decision. This means that a different person but someone within the DWP will reconsider the decision again and may reinstate your benefit or accept reduced or not work seeking activities. Most cases fail to get a new decision, but your reconsideration is more likely to be successful if you provide supporting medical evidence so if you can send more information it would be worth doing so at this stage.</w:t>
      </w:r>
      <w:r>
        <w:rPr>
          <w:rFonts w:ascii="Consolas" w:eastAsia="Consolas" w:hAnsi="Consolas" w:cs="Consolas"/>
          <w:color w:val="000000"/>
          <w:sz w:val="21"/>
          <w:szCs w:val="21"/>
        </w:rPr>
        <w:t xml:space="preserve"> </w:t>
      </w:r>
    </w:p>
    <w:p w14:paraId="310DE9AF" w14:textId="77777777" w:rsidR="00156FAB" w:rsidRDefault="00156FAB" w:rsidP="00156FAB">
      <w:pPr>
        <w:widowControl/>
        <w:pBdr>
          <w:top w:val="nil"/>
          <w:left w:val="nil"/>
          <w:bottom w:val="nil"/>
          <w:right w:val="nil"/>
          <w:between w:val="nil"/>
        </w:pBdr>
        <w:ind w:left="284" w:right="204"/>
        <w:rPr>
          <w:rFonts w:ascii="Arial" w:eastAsia="Arial" w:hAnsi="Arial" w:cs="Arial"/>
          <w:color w:val="000000"/>
          <w:sz w:val="21"/>
          <w:szCs w:val="21"/>
        </w:rPr>
      </w:pPr>
    </w:p>
    <w:p w14:paraId="7DCABE08" w14:textId="77777777" w:rsidR="00156FAB" w:rsidRDefault="00156FAB" w:rsidP="00156FAB">
      <w:pPr>
        <w:widowControl/>
        <w:pBdr>
          <w:top w:val="nil"/>
          <w:left w:val="nil"/>
          <w:bottom w:val="nil"/>
          <w:right w:val="nil"/>
          <w:between w:val="nil"/>
        </w:pBdr>
        <w:ind w:left="284" w:right="204"/>
        <w:rPr>
          <w:rFonts w:ascii="Arial" w:eastAsia="Arial" w:hAnsi="Arial" w:cs="Arial"/>
          <w:color w:val="000000"/>
          <w:sz w:val="21"/>
          <w:szCs w:val="21"/>
        </w:rPr>
      </w:pPr>
      <w:r>
        <w:rPr>
          <w:rFonts w:ascii="Arial" w:eastAsia="Arial" w:hAnsi="Arial" w:cs="Arial"/>
          <w:sz w:val="21"/>
          <w:szCs w:val="21"/>
        </w:rPr>
        <w:t>You</w:t>
      </w:r>
      <w:r>
        <w:rPr>
          <w:rFonts w:ascii="Arial" w:eastAsia="Arial" w:hAnsi="Arial" w:cs="Arial"/>
          <w:color w:val="000000"/>
          <w:sz w:val="21"/>
          <w:szCs w:val="21"/>
        </w:rPr>
        <w:t xml:space="preserve"> will not be eligible for ESA payments whilst this reconsideration is in progress, the review process has no time limit, guidance is 28 days. If you have no income consider other options, as claiming Universal Credit. If you are already in receipt of Universal Credit your standard allowance will continue to be paid as normal, but the limited capability for work element will stop.</w:t>
      </w:r>
    </w:p>
    <w:p w14:paraId="65E9227A" w14:textId="77777777" w:rsidR="00156FAB" w:rsidRDefault="00156FAB" w:rsidP="00156FAB">
      <w:pPr>
        <w:widowControl/>
        <w:pBdr>
          <w:top w:val="nil"/>
          <w:left w:val="nil"/>
          <w:bottom w:val="nil"/>
          <w:right w:val="nil"/>
          <w:between w:val="nil"/>
        </w:pBdr>
        <w:ind w:left="284" w:right="204"/>
        <w:rPr>
          <w:rFonts w:ascii="Arial" w:eastAsia="Arial" w:hAnsi="Arial" w:cs="Arial"/>
          <w:color w:val="000000"/>
          <w:sz w:val="21"/>
          <w:szCs w:val="21"/>
        </w:rPr>
      </w:pPr>
    </w:p>
    <w:p w14:paraId="3BDC9FFA" w14:textId="77777777" w:rsidR="00156FAB" w:rsidRDefault="00156FAB" w:rsidP="00156FAB">
      <w:pPr>
        <w:widowControl/>
        <w:pBdr>
          <w:top w:val="nil"/>
          <w:left w:val="nil"/>
          <w:bottom w:val="nil"/>
          <w:right w:val="nil"/>
          <w:between w:val="nil"/>
        </w:pBdr>
        <w:ind w:left="284" w:right="204"/>
        <w:rPr>
          <w:rFonts w:ascii="Arial" w:eastAsia="Arial" w:hAnsi="Arial" w:cs="Arial"/>
          <w:color w:val="000000"/>
        </w:rPr>
      </w:pPr>
      <w:r>
        <w:rPr>
          <w:rFonts w:ascii="Arial" w:eastAsia="Arial" w:hAnsi="Arial" w:cs="Arial"/>
          <w:color w:val="000000"/>
        </w:rPr>
        <w:t xml:space="preserve">If your condition has significantly worsened since your WCA, or if you have a new medical condition that makes you unable to work, you will need to claim Universal Credit and ask them to reassess you for capability for work. You can only make a new ESA claim if this is contribution-based, now called New-style Employment Support Allowance. This means you will need to have been an employee or self-employed and paid National Insurance contributions, usually in the last 2 to 3 years. </w:t>
      </w:r>
    </w:p>
    <w:p w14:paraId="19F204C0" w14:textId="77777777" w:rsidR="00156FAB" w:rsidRDefault="00156FAB" w:rsidP="00156FAB">
      <w:pPr>
        <w:widowControl/>
        <w:pBdr>
          <w:top w:val="nil"/>
          <w:left w:val="nil"/>
          <w:bottom w:val="nil"/>
          <w:right w:val="nil"/>
          <w:between w:val="nil"/>
        </w:pBdr>
        <w:ind w:left="284" w:right="204"/>
        <w:rPr>
          <w:rFonts w:ascii="Arial" w:eastAsia="Arial" w:hAnsi="Arial" w:cs="Arial"/>
          <w:color w:val="000000"/>
        </w:rPr>
      </w:pPr>
    </w:p>
    <w:p w14:paraId="74AD05CD" w14:textId="77777777" w:rsidR="00156FAB" w:rsidRDefault="00156FAB" w:rsidP="00156FAB">
      <w:pPr>
        <w:widowControl/>
        <w:pBdr>
          <w:top w:val="nil"/>
          <w:left w:val="nil"/>
          <w:bottom w:val="nil"/>
          <w:right w:val="nil"/>
          <w:between w:val="nil"/>
        </w:pBdr>
        <w:ind w:left="284" w:right="204"/>
        <w:rPr>
          <w:rFonts w:ascii="Arial" w:eastAsia="Arial" w:hAnsi="Arial" w:cs="Arial"/>
          <w:b/>
          <w:color w:val="000000"/>
        </w:rPr>
      </w:pPr>
      <w:r>
        <w:rPr>
          <w:rFonts w:ascii="Arial" w:eastAsia="Arial" w:hAnsi="Arial" w:cs="Arial"/>
          <w:b/>
          <w:color w:val="000000"/>
        </w:rPr>
        <w:t xml:space="preserve">Appeals </w:t>
      </w:r>
    </w:p>
    <w:p w14:paraId="2CC47153" w14:textId="77777777" w:rsidR="00156FAB" w:rsidRDefault="00156FAB" w:rsidP="00156FAB">
      <w:pPr>
        <w:widowControl/>
        <w:pBdr>
          <w:top w:val="nil"/>
          <w:left w:val="nil"/>
          <w:bottom w:val="nil"/>
          <w:right w:val="nil"/>
          <w:between w:val="nil"/>
        </w:pBdr>
        <w:ind w:left="284" w:right="204"/>
        <w:rPr>
          <w:rFonts w:ascii="Arial" w:eastAsia="Arial" w:hAnsi="Arial" w:cs="Arial"/>
          <w:b/>
          <w:color w:val="000000"/>
        </w:rPr>
      </w:pPr>
    </w:p>
    <w:p w14:paraId="4785010A" w14:textId="72628A54" w:rsidR="0062079A" w:rsidRDefault="00156FAB" w:rsidP="0062079A">
      <w:pPr>
        <w:widowControl/>
        <w:pBdr>
          <w:top w:val="nil"/>
          <w:left w:val="nil"/>
          <w:bottom w:val="nil"/>
          <w:right w:val="nil"/>
          <w:between w:val="nil"/>
        </w:pBdr>
        <w:spacing w:after="240"/>
        <w:ind w:left="284" w:right="204"/>
        <w:rPr>
          <w:rFonts w:ascii="Arial" w:eastAsia="Arial" w:hAnsi="Arial" w:cs="Arial"/>
          <w:color w:val="000000"/>
        </w:rPr>
      </w:pPr>
      <w:r>
        <w:rPr>
          <w:rFonts w:ascii="Arial" w:eastAsia="Arial" w:hAnsi="Arial" w:cs="Arial"/>
          <w:color w:val="000000"/>
        </w:rPr>
        <w:t xml:space="preserve">Once your case has been ‘reconsidered’ if the decision is still to refuse you can appeal. You should appeal within one calendar month of the date at the top of the decision letter (if you miss the one month-time limit you can ask for an appeal within 13 months of the date the decision if you can give good reasons why this is late). You can lodge your appeal online </w:t>
      </w:r>
      <w:hyperlink r:id="rId13">
        <w:r>
          <w:rPr>
            <w:rFonts w:ascii="Arial" w:eastAsia="Arial" w:hAnsi="Arial" w:cs="Arial"/>
            <w:color w:val="0000FF"/>
            <w:u w:val="single"/>
          </w:rPr>
          <w:t>https://www.gov.uk/appeal-benefit-decision/submit-appeal</w:t>
        </w:r>
      </w:hyperlink>
      <w:hyperlink r:id="rId14">
        <w:r>
          <w:rPr>
            <w:rFonts w:ascii="Arial" w:eastAsia="Arial" w:hAnsi="Arial" w:cs="Arial"/>
            <w:color w:val="000000"/>
          </w:rPr>
          <w:t xml:space="preserve"> or us</w:t>
        </w:r>
        <w:r w:rsidR="00A16F41">
          <w:rPr>
            <w:rFonts w:ascii="Arial" w:eastAsia="Arial" w:hAnsi="Arial" w:cs="Arial"/>
            <w:color w:val="000000"/>
          </w:rPr>
          <w:t>i</w:t>
        </w:r>
        <w:r w:rsidR="006232ED">
          <w:rPr>
            <w:rFonts w:ascii="Arial" w:eastAsia="Arial" w:hAnsi="Arial" w:cs="Arial"/>
            <w:color w:val="000000"/>
          </w:rPr>
          <w:t>ng</w:t>
        </w:r>
        <w:r>
          <w:rPr>
            <w:rFonts w:ascii="Arial" w:eastAsia="Arial" w:hAnsi="Arial" w:cs="Arial"/>
            <w:color w:val="000000"/>
          </w:rPr>
          <w:t xml:space="preserve"> a SSCS1</w:t>
        </w:r>
      </w:hyperlink>
      <w:r>
        <w:rPr>
          <w:rFonts w:ascii="Arial" w:eastAsia="Arial" w:hAnsi="Arial" w:cs="Arial"/>
          <w:color w:val="000000"/>
        </w:rPr>
        <w:t xml:space="preserve"> form. Keep a copy of the form which should be sent directly to the appeals services. </w:t>
      </w:r>
    </w:p>
    <w:p w14:paraId="6FAD8939" w14:textId="77777777" w:rsidR="000E00D5" w:rsidRPr="000E00D5" w:rsidRDefault="000E00D5" w:rsidP="000E00D5">
      <w:pPr>
        <w:pStyle w:val="ListParagraph"/>
        <w:numPr>
          <w:ilvl w:val="0"/>
          <w:numId w:val="10"/>
        </w:numPr>
        <w:spacing w:before="240"/>
        <w:rPr>
          <w:rFonts w:ascii="Arial" w:eastAsia="Arial" w:hAnsi="Arial" w:cs="Arial"/>
          <w:color w:val="000000"/>
        </w:rPr>
      </w:pPr>
      <w:r w:rsidRPr="000E00D5">
        <w:rPr>
          <w:rFonts w:ascii="Arial" w:eastAsia="Arial" w:hAnsi="Arial" w:cs="Arial"/>
          <w:b/>
          <w:bCs/>
          <w:i/>
          <w:iCs/>
          <w:color w:val="000000"/>
        </w:rPr>
        <w:t>If you have never lost an appeal</w:t>
      </w:r>
      <w:r w:rsidRPr="000E00D5">
        <w:rPr>
          <w:rFonts w:ascii="Arial" w:eastAsia="Arial" w:hAnsi="Arial" w:cs="Arial"/>
          <w:color w:val="000000"/>
        </w:rPr>
        <w:t xml:space="preserve"> once your appeal has been accepted by the appeals service, your ESA will be reinstated and backdated for the period it ceased. This will be paid at the lower basic rate until the appeal is heard and you still need to be covered by a medical certificate. In the case of UC </w:t>
      </w:r>
      <w:r w:rsidRPr="000E00D5">
        <w:rPr>
          <w:rFonts w:ascii="Arial" w:eastAsia="Arial" w:hAnsi="Arial" w:cs="Arial"/>
          <w:color w:val="000000"/>
        </w:rPr>
        <w:lastRenderedPageBreak/>
        <w:t>applicants even though you are appealing you will still have to have a claimant commitment that may require you to be actively seeking and available for work, carry out steps to find work to continue to be eligible for benefit.</w:t>
      </w:r>
      <w:r w:rsidRPr="000E00D5">
        <w:t xml:space="preserve"> </w:t>
      </w:r>
    </w:p>
    <w:p w14:paraId="03D515DE" w14:textId="4700403F" w:rsidR="00156FAB" w:rsidRPr="000E00D5" w:rsidRDefault="000E00D5" w:rsidP="000E00D5">
      <w:pPr>
        <w:pStyle w:val="ListParagraph"/>
        <w:numPr>
          <w:ilvl w:val="0"/>
          <w:numId w:val="10"/>
        </w:numPr>
        <w:spacing w:before="240"/>
        <w:rPr>
          <w:rFonts w:ascii="Arial" w:eastAsia="Arial" w:hAnsi="Arial" w:cs="Arial"/>
          <w:color w:val="000000"/>
        </w:rPr>
      </w:pPr>
      <w:r w:rsidRPr="000E00D5">
        <w:rPr>
          <w:rFonts w:ascii="Arial" w:eastAsia="Arial" w:hAnsi="Arial" w:cs="Arial"/>
          <w:color w:val="000000"/>
        </w:rPr>
        <w:t xml:space="preserve">If you are on ESA, your HB&amp;CRT will stop, and you may be asked to pay full rent/council tax. Let the HB section know that you are appealing an ESA decision, provide proof of any income you do have, and ask them to continue to pay HB. (See template letter) </w:t>
      </w:r>
    </w:p>
    <w:p w14:paraId="20B4856C" w14:textId="77777777" w:rsidR="00156FAB" w:rsidRDefault="00156FAB" w:rsidP="000E00D5">
      <w:pPr>
        <w:widowControl/>
        <w:numPr>
          <w:ilvl w:val="0"/>
          <w:numId w:val="10"/>
        </w:numPr>
        <w:pBdr>
          <w:top w:val="nil"/>
          <w:left w:val="nil"/>
          <w:bottom w:val="nil"/>
          <w:right w:val="nil"/>
          <w:between w:val="nil"/>
        </w:pBdr>
        <w:spacing w:before="240"/>
        <w:rPr>
          <w:color w:val="000000"/>
        </w:rPr>
      </w:pPr>
      <w:r>
        <w:rPr>
          <w:rFonts w:ascii="Arial" w:eastAsia="Arial" w:hAnsi="Arial" w:cs="Arial"/>
          <w:color w:val="000000"/>
        </w:rPr>
        <w:t>You may have the option of claiming Universal Credit while you are asking for a reconsideration as your benefit will stop completely until the reconsideration has been completed. If you do decide to claim UC, normally you have to be ‘available for’ and ‘actively seeking’ work to be eligible. Therefore, you must inform them of limitations in your abilities to look for work because of health/disability and provide a medical certificate.</w:t>
      </w:r>
    </w:p>
    <w:p w14:paraId="486F344F" w14:textId="77777777" w:rsidR="00156FAB" w:rsidRDefault="00156FAB" w:rsidP="006163E9">
      <w:pPr>
        <w:numPr>
          <w:ilvl w:val="0"/>
          <w:numId w:val="10"/>
        </w:numPr>
        <w:pBdr>
          <w:top w:val="nil"/>
          <w:left w:val="nil"/>
          <w:bottom w:val="nil"/>
          <w:right w:val="nil"/>
          <w:between w:val="nil"/>
        </w:pBdr>
        <w:spacing w:before="240" w:after="240"/>
        <w:rPr>
          <w:color w:val="000000"/>
        </w:rPr>
      </w:pPr>
      <w:r>
        <w:rPr>
          <w:rFonts w:ascii="Arial" w:eastAsia="Arial" w:hAnsi="Arial" w:cs="Arial"/>
        </w:rPr>
        <w:t>C</w:t>
      </w:r>
      <w:r>
        <w:rPr>
          <w:rFonts w:ascii="Arial" w:eastAsia="Arial" w:hAnsi="Arial" w:cs="Arial"/>
          <w:color w:val="000000"/>
        </w:rPr>
        <w:t xml:space="preserve">laiming Universal Credit whilst appealing could mean loss of some components paid in ESA, check </w:t>
      </w:r>
      <w:hyperlink r:id="rId15">
        <w:r>
          <w:rPr>
            <w:rFonts w:ascii="Arial" w:eastAsia="Arial" w:hAnsi="Arial" w:cs="Arial"/>
            <w:color w:val="0000FF"/>
            <w:u w:val="single"/>
          </w:rPr>
          <w:t>www.turn2us.org</w:t>
        </w:r>
      </w:hyperlink>
      <w:r>
        <w:rPr>
          <w:rFonts w:ascii="Arial" w:eastAsia="Arial" w:hAnsi="Arial" w:cs="Arial"/>
          <w:color w:val="000000"/>
        </w:rPr>
        <w:t xml:space="preserve"> to find out if transitional rules apply. Also, remember that that UC is a joint claim (both members of the couple have to meet the criteria). You might be able to receive a lower rate of ESA whilst appealing as you will never be able to return to ESA if you claim Universal Credit.</w:t>
      </w:r>
    </w:p>
    <w:p w14:paraId="6D369DC1" w14:textId="5ACFF4B0" w:rsidR="00156FAB" w:rsidRPr="006163E9" w:rsidRDefault="00156FAB" w:rsidP="006163E9">
      <w:pPr>
        <w:pStyle w:val="ListParagraph"/>
        <w:numPr>
          <w:ilvl w:val="0"/>
          <w:numId w:val="10"/>
        </w:numPr>
        <w:rPr>
          <w:rFonts w:ascii="Arial" w:eastAsia="Arial" w:hAnsi="Arial" w:cs="Arial"/>
        </w:rPr>
      </w:pPr>
      <w:bookmarkStart w:id="0" w:name="_30j0zll" w:colFirst="0" w:colLast="0"/>
      <w:bookmarkEnd w:id="0"/>
      <w:r w:rsidRPr="006163E9">
        <w:rPr>
          <w:rFonts w:ascii="Arial" w:eastAsia="Arial" w:hAnsi="Arial" w:cs="Arial"/>
        </w:rPr>
        <w:t>If you decide to claim UC</w:t>
      </w:r>
      <w:r>
        <w:t xml:space="preserve"> </w:t>
      </w:r>
      <w:r w:rsidRPr="006163E9">
        <w:rPr>
          <w:rFonts w:ascii="Arial" w:eastAsia="Arial" w:hAnsi="Arial" w:cs="Arial"/>
        </w:rPr>
        <w:t xml:space="preserve">and your ESA appeal is successful, </w:t>
      </w:r>
      <w:r w:rsidR="006163E9">
        <w:rPr>
          <w:rFonts w:ascii="Arial" w:eastAsia="Arial" w:hAnsi="Arial" w:cs="Arial"/>
        </w:rPr>
        <w:t>t</w:t>
      </w:r>
      <w:r w:rsidR="006163E9" w:rsidRPr="006163E9">
        <w:rPr>
          <w:rFonts w:ascii="Arial" w:eastAsia="Arial" w:hAnsi="Arial" w:cs="Arial"/>
        </w:rPr>
        <w:t xml:space="preserve">he limited capability for work element can be included from the start of the first assessment period and a new WCA may not be immediately necessary. </w:t>
      </w:r>
      <w:r w:rsidR="006163E9">
        <w:rPr>
          <w:rFonts w:ascii="Arial" w:eastAsia="Arial" w:hAnsi="Arial" w:cs="Arial"/>
        </w:rPr>
        <w:t>T</w:t>
      </w:r>
      <w:r w:rsidRPr="006163E9">
        <w:rPr>
          <w:rFonts w:ascii="Arial" w:eastAsia="Arial" w:hAnsi="Arial" w:cs="Arial"/>
        </w:rPr>
        <w:t xml:space="preserve">he limited capability for work element abolished in UC (work-related activity component in ESA) will continue to be paid provided you have been getting ESA from before 3 April 2017. </w:t>
      </w:r>
    </w:p>
    <w:p w14:paraId="634ED3E5" w14:textId="77777777" w:rsidR="00156FAB" w:rsidRDefault="00156FAB" w:rsidP="000E00D5">
      <w:pPr>
        <w:numPr>
          <w:ilvl w:val="0"/>
          <w:numId w:val="10"/>
        </w:numPr>
        <w:pBdr>
          <w:top w:val="nil"/>
          <w:left w:val="nil"/>
          <w:bottom w:val="nil"/>
          <w:right w:val="nil"/>
          <w:between w:val="nil"/>
        </w:pBdr>
        <w:spacing w:before="240"/>
        <w:rPr>
          <w:color w:val="000000"/>
        </w:rPr>
      </w:pPr>
      <w:r>
        <w:rPr>
          <w:rFonts w:ascii="Arial" w:eastAsia="Arial" w:hAnsi="Arial" w:cs="Arial"/>
          <w:color w:val="000000"/>
        </w:rPr>
        <w:t>In the long-term all ESA claimants will be transferred to UC.</w:t>
      </w:r>
    </w:p>
    <w:p w14:paraId="6223EFDA" w14:textId="77777777" w:rsidR="00156FAB" w:rsidRDefault="00156FAB" w:rsidP="00156FAB">
      <w:pPr>
        <w:widowControl/>
        <w:rPr>
          <w:rFonts w:ascii="Arial" w:eastAsia="Arial" w:hAnsi="Arial" w:cs="Arial"/>
        </w:rPr>
      </w:pPr>
    </w:p>
    <w:p w14:paraId="17B55B1C" w14:textId="77777777" w:rsidR="00156FAB" w:rsidRDefault="00156FAB" w:rsidP="00156FAB">
      <w:pPr>
        <w:widowControl/>
        <w:ind w:left="360"/>
        <w:rPr>
          <w:rFonts w:ascii="Arial" w:eastAsia="Arial" w:hAnsi="Arial" w:cs="Arial"/>
          <w:b/>
          <w:i/>
        </w:rPr>
      </w:pPr>
      <w:r>
        <w:rPr>
          <w:rFonts w:ascii="Arial" w:eastAsia="Arial" w:hAnsi="Arial" w:cs="Arial"/>
          <w:b/>
          <w:i/>
        </w:rPr>
        <w:t>If you have had a previous ESA appeal which ‘lost’ you will not be paid any ESA whilst appealing and should consider claiming Universal Credit.</w:t>
      </w:r>
    </w:p>
    <w:p w14:paraId="2374FDA4" w14:textId="77777777" w:rsidR="00156FAB" w:rsidRDefault="00156FAB" w:rsidP="00156FAB">
      <w:pPr>
        <w:tabs>
          <w:tab w:val="left" w:pos="10632"/>
        </w:tabs>
        <w:ind w:left="284" w:right="204"/>
        <w:rPr>
          <w:rFonts w:ascii="Arial" w:eastAsia="Arial" w:hAnsi="Arial" w:cs="Arial"/>
        </w:rPr>
      </w:pPr>
    </w:p>
    <w:p w14:paraId="5A334675" w14:textId="50BA3559" w:rsidR="00156FAB" w:rsidRDefault="00156FAB" w:rsidP="00156FAB">
      <w:pPr>
        <w:tabs>
          <w:tab w:val="left" w:pos="10632"/>
        </w:tabs>
        <w:ind w:left="284" w:right="204"/>
        <w:rPr>
          <w:rFonts w:ascii="Arial" w:eastAsia="Arial" w:hAnsi="Arial" w:cs="Arial"/>
        </w:rPr>
      </w:pPr>
      <w:r>
        <w:rPr>
          <w:rFonts w:ascii="Arial" w:eastAsia="Arial" w:hAnsi="Arial" w:cs="Arial"/>
        </w:rPr>
        <w:t>Once an appeal has been lodged, it will eventually be listed by the Tribunal Service</w:t>
      </w:r>
      <w:r w:rsidR="00485574">
        <w:rPr>
          <w:rFonts w:ascii="Arial" w:eastAsia="Arial" w:hAnsi="Arial" w:cs="Arial"/>
        </w:rPr>
        <w:t>s</w:t>
      </w:r>
      <w:r>
        <w:rPr>
          <w:rFonts w:ascii="Arial" w:eastAsia="Arial" w:hAnsi="Arial" w:cs="Arial"/>
        </w:rPr>
        <w:t xml:space="preserve"> for a hearing. You should attend the hearing as this is your opportunity to explain how your condition affects you and why you think you are unable to work/take part on the work-related activities. It may take more than three months for a hearing. While you are waiting for your hearing you should seek medical evidence in support of your case. Letters from GP and/or your consultant if you have one, a copy of an Occupational Therapy assessment, care plan, are good evidence for the tribunal. </w:t>
      </w:r>
      <w:r w:rsidR="00040F76">
        <w:rPr>
          <w:rFonts w:ascii="Arial" w:eastAsia="Arial" w:hAnsi="Arial" w:cs="Arial"/>
        </w:rPr>
        <w:t>You can s</w:t>
      </w:r>
      <w:r>
        <w:rPr>
          <w:rFonts w:ascii="Arial" w:eastAsia="Arial" w:hAnsi="Arial" w:cs="Arial"/>
        </w:rPr>
        <w:t xml:space="preserve">end supporting medical evidence to the </w:t>
      </w:r>
      <w:r w:rsidR="00485574">
        <w:rPr>
          <w:rFonts w:ascii="Arial" w:eastAsia="Arial" w:hAnsi="Arial" w:cs="Arial"/>
        </w:rPr>
        <w:t xml:space="preserve">Tribunal Services </w:t>
      </w:r>
      <w:r w:rsidR="00E32780">
        <w:rPr>
          <w:rFonts w:ascii="Arial" w:eastAsia="Arial" w:hAnsi="Arial" w:cs="Arial"/>
        </w:rPr>
        <w:t xml:space="preserve">anytime </w:t>
      </w:r>
      <w:r w:rsidR="00485DD2">
        <w:rPr>
          <w:rFonts w:ascii="Arial" w:eastAsia="Arial" w:hAnsi="Arial" w:cs="Arial"/>
        </w:rPr>
        <w:t>whilst</w:t>
      </w:r>
      <w:r w:rsidR="00485574">
        <w:rPr>
          <w:rFonts w:ascii="Arial" w:eastAsia="Arial" w:hAnsi="Arial" w:cs="Arial"/>
        </w:rPr>
        <w:t xml:space="preserve"> waiting for your appeal to be listed</w:t>
      </w:r>
      <w:r w:rsidR="00485DD2">
        <w:rPr>
          <w:rFonts w:ascii="Arial" w:eastAsia="Arial" w:hAnsi="Arial" w:cs="Arial"/>
        </w:rPr>
        <w:t xml:space="preserve">, but no </w:t>
      </w:r>
      <w:r w:rsidR="006E03E3">
        <w:rPr>
          <w:rFonts w:ascii="Arial" w:eastAsia="Arial" w:hAnsi="Arial" w:cs="Arial"/>
        </w:rPr>
        <w:t>less</w:t>
      </w:r>
      <w:r w:rsidR="00485DD2">
        <w:rPr>
          <w:rFonts w:ascii="Arial" w:eastAsia="Arial" w:hAnsi="Arial" w:cs="Arial"/>
        </w:rPr>
        <w:t xml:space="preserve"> than 14 days before your hearing</w:t>
      </w:r>
      <w:r w:rsidR="00485574">
        <w:rPr>
          <w:rFonts w:ascii="Arial" w:eastAsia="Arial" w:hAnsi="Arial" w:cs="Arial"/>
        </w:rPr>
        <w:t>.</w:t>
      </w:r>
    </w:p>
    <w:p w14:paraId="7C22D416" w14:textId="77777777" w:rsidR="00156FAB" w:rsidRDefault="00156FAB" w:rsidP="00156FAB">
      <w:pPr>
        <w:ind w:left="284" w:right="204"/>
        <w:rPr>
          <w:rFonts w:ascii="Arial" w:eastAsia="Arial" w:hAnsi="Arial" w:cs="Arial"/>
          <w:b/>
        </w:rPr>
      </w:pPr>
    </w:p>
    <w:p w14:paraId="5F2F4B2C" w14:textId="77777777" w:rsidR="00156FAB" w:rsidRDefault="00156FAB" w:rsidP="00156FAB">
      <w:pPr>
        <w:ind w:left="284" w:right="204"/>
        <w:rPr>
          <w:rFonts w:ascii="Arial" w:eastAsia="Arial" w:hAnsi="Arial" w:cs="Arial"/>
          <w:b/>
        </w:rPr>
      </w:pPr>
      <w:r>
        <w:rPr>
          <w:rFonts w:ascii="Arial" w:eastAsia="Arial" w:hAnsi="Arial" w:cs="Arial"/>
          <w:b/>
        </w:rPr>
        <w:t>The hearing</w:t>
      </w:r>
    </w:p>
    <w:p w14:paraId="3463C880" w14:textId="77777777" w:rsidR="00156FAB" w:rsidRDefault="00156FAB" w:rsidP="00156FAB">
      <w:pPr>
        <w:ind w:left="284" w:right="204"/>
        <w:rPr>
          <w:rFonts w:ascii="Arial" w:eastAsia="Arial" w:hAnsi="Arial" w:cs="Arial"/>
          <w:b/>
        </w:rPr>
      </w:pPr>
    </w:p>
    <w:p w14:paraId="730FB774" w14:textId="01EC8F50" w:rsidR="00156FAB" w:rsidRDefault="00156FAB" w:rsidP="00156FAB">
      <w:pPr>
        <w:ind w:left="284" w:right="204"/>
        <w:rPr>
          <w:rFonts w:ascii="Arial" w:eastAsia="Arial" w:hAnsi="Arial" w:cs="Arial"/>
        </w:rPr>
      </w:pPr>
      <w:r>
        <w:rPr>
          <w:rFonts w:ascii="Arial" w:eastAsia="Arial" w:hAnsi="Arial" w:cs="Arial"/>
        </w:rPr>
        <w:t xml:space="preserve">After a month or so of lodging your appeal, you will receive a </w:t>
      </w:r>
      <w:r>
        <w:rPr>
          <w:rFonts w:ascii="Arial" w:eastAsia="Arial" w:hAnsi="Arial" w:cs="Arial"/>
          <w:b/>
          <w:i/>
        </w:rPr>
        <w:t>bundle of papers</w:t>
      </w:r>
      <w:r>
        <w:rPr>
          <w:rFonts w:ascii="Arial" w:eastAsia="Arial" w:hAnsi="Arial" w:cs="Arial"/>
        </w:rPr>
        <w:t xml:space="preserve"> containing all the information about your WCA decision and appeal. It will include a copy of the ESA50</w:t>
      </w:r>
      <w:r w:rsidR="006914F8">
        <w:rPr>
          <w:rFonts w:ascii="Arial" w:eastAsia="Arial" w:hAnsi="Arial" w:cs="Arial"/>
        </w:rPr>
        <w:t xml:space="preserve"> and/or </w:t>
      </w:r>
      <w:r>
        <w:rPr>
          <w:rFonts w:ascii="Arial" w:eastAsia="Arial" w:hAnsi="Arial" w:cs="Arial"/>
        </w:rPr>
        <w:t xml:space="preserve">UC50 you completed, and a copy of your work capability (medical) assessment. You should read this carefully to see if there are any gross inaccuracies. The Tribunal Service will arrange a hearing, which may take place over the phone or by video call, and in some instances at a venue in London. If you </w:t>
      </w:r>
      <w:proofErr w:type="gramStart"/>
      <w:r>
        <w:rPr>
          <w:rFonts w:ascii="Arial" w:eastAsia="Arial" w:hAnsi="Arial" w:cs="Arial"/>
        </w:rPr>
        <w:t>have to</w:t>
      </w:r>
      <w:proofErr w:type="gramEnd"/>
      <w:r>
        <w:rPr>
          <w:rFonts w:ascii="Arial" w:eastAsia="Arial" w:hAnsi="Arial" w:cs="Arial"/>
        </w:rPr>
        <w:t xml:space="preserve"> </w:t>
      </w:r>
      <w:r w:rsidR="006914F8">
        <w:rPr>
          <w:rFonts w:ascii="Arial" w:eastAsia="Arial" w:hAnsi="Arial" w:cs="Arial"/>
        </w:rPr>
        <w:t>travel</w:t>
      </w:r>
      <w:r w:rsidR="00D163D2">
        <w:rPr>
          <w:rFonts w:ascii="Arial" w:eastAsia="Arial" w:hAnsi="Arial" w:cs="Arial"/>
        </w:rPr>
        <w:t xml:space="preserve"> to</w:t>
      </w:r>
      <w:r>
        <w:rPr>
          <w:rFonts w:ascii="Arial" w:eastAsia="Arial" w:hAnsi="Arial" w:cs="Arial"/>
        </w:rPr>
        <w:t xml:space="preserve"> attend your hearing and you are unable to use public transport, and your GP will give a letter confirming that is the case, you will be able to claim back the cost of cab fares to and from the hearing. </w:t>
      </w:r>
    </w:p>
    <w:p w14:paraId="3CFDDEFE" w14:textId="6B42B3B8" w:rsidR="00156FAB" w:rsidRDefault="00156FAB" w:rsidP="00156FAB">
      <w:pPr>
        <w:ind w:left="284" w:right="204"/>
        <w:rPr>
          <w:rFonts w:ascii="Arial" w:eastAsia="Arial" w:hAnsi="Arial" w:cs="Arial"/>
        </w:rPr>
      </w:pPr>
      <w:r>
        <w:rPr>
          <w:rFonts w:ascii="Arial" w:eastAsia="Arial" w:hAnsi="Arial" w:cs="Arial"/>
        </w:rPr>
        <w:t>You should make every effort to attend the hearing, and if it is at a time or date you cannot make, you should call or write to the Tribunal Service</w:t>
      </w:r>
      <w:r w:rsidR="00D163D2">
        <w:rPr>
          <w:rFonts w:ascii="Arial" w:eastAsia="Arial" w:hAnsi="Arial" w:cs="Arial"/>
        </w:rPr>
        <w:t>s</w:t>
      </w:r>
      <w:r>
        <w:rPr>
          <w:rFonts w:ascii="Arial" w:eastAsia="Arial" w:hAnsi="Arial" w:cs="Arial"/>
        </w:rPr>
        <w:t xml:space="preserve"> as soon as possible to ask for it to be re-arranged. </w:t>
      </w:r>
    </w:p>
    <w:p w14:paraId="726087DE" w14:textId="77777777" w:rsidR="00156FAB" w:rsidRDefault="00156FAB" w:rsidP="00156FAB">
      <w:pPr>
        <w:ind w:left="284" w:right="204"/>
        <w:rPr>
          <w:rFonts w:ascii="Arial" w:eastAsia="Arial" w:hAnsi="Arial" w:cs="Arial"/>
          <w:sz w:val="20"/>
          <w:szCs w:val="20"/>
        </w:rPr>
      </w:pPr>
      <w:r>
        <w:rPr>
          <w:rFonts w:ascii="Arial" w:eastAsia="Arial" w:hAnsi="Arial" w:cs="Arial"/>
        </w:rPr>
        <w:t>The appeal will be heard by two people, a lawyer and a doctor. They will ask you questions about your condition and about how you spend a typical day. If you have asked for an interpreter/signer, they should be there, and you do not need to go ahead if they are not. You should be given a decision in writing on the day, but occasionally this may be posted out the next day.</w:t>
      </w:r>
      <w:r>
        <w:rPr>
          <w:rFonts w:ascii="Arial" w:eastAsia="Arial" w:hAnsi="Arial" w:cs="Arial"/>
          <w:sz w:val="20"/>
          <w:szCs w:val="20"/>
        </w:rPr>
        <w:t xml:space="preserve"> </w:t>
      </w:r>
    </w:p>
    <w:p w14:paraId="4FE0BA2A" w14:textId="77777777" w:rsidR="007B59BC" w:rsidRPr="00B6698E" w:rsidRDefault="007B59BC" w:rsidP="00AE3089">
      <w:pPr>
        <w:ind w:left="284" w:right="204"/>
        <w:rPr>
          <w:rFonts w:ascii="Arial" w:hAnsi="Arial" w:cs="Arial"/>
          <w:sz w:val="20"/>
          <w:szCs w:val="20"/>
        </w:rPr>
      </w:pPr>
    </w:p>
    <w:p w14:paraId="7B52AE67" w14:textId="77777777" w:rsidR="007B59BC" w:rsidRPr="00B6698E" w:rsidRDefault="007B59BC" w:rsidP="00AE3089">
      <w:pPr>
        <w:ind w:left="284" w:right="204"/>
        <w:rPr>
          <w:rFonts w:ascii="Arial" w:hAnsi="Arial" w:cs="Arial"/>
          <w:sz w:val="20"/>
          <w:szCs w:val="20"/>
        </w:rPr>
      </w:pPr>
    </w:p>
    <w:p w14:paraId="3502DA33" w14:textId="77777777" w:rsidR="00260535" w:rsidRDefault="00260535" w:rsidP="00AE3089">
      <w:pPr>
        <w:pStyle w:val="PlainText"/>
        <w:ind w:left="284" w:right="204"/>
        <w:jc w:val="center"/>
        <w:rPr>
          <w:rFonts w:ascii="Arial" w:hAnsi="Arial" w:cs="Arial"/>
          <w:sz w:val="22"/>
          <w:szCs w:val="22"/>
        </w:rPr>
      </w:pPr>
    </w:p>
    <w:p w14:paraId="2DF99AC2" w14:textId="7500A690" w:rsidR="007B59BC" w:rsidRPr="00B6698E" w:rsidRDefault="007B59BC" w:rsidP="00AE3089">
      <w:pPr>
        <w:pStyle w:val="PlainText"/>
        <w:ind w:left="284" w:right="204"/>
        <w:jc w:val="center"/>
        <w:rPr>
          <w:rFonts w:ascii="Arial" w:hAnsi="Arial" w:cs="Arial"/>
          <w:sz w:val="22"/>
          <w:szCs w:val="22"/>
        </w:rPr>
      </w:pPr>
      <w:r w:rsidRPr="00B6698E">
        <w:rPr>
          <w:rFonts w:ascii="Arial" w:hAnsi="Arial" w:cs="Arial"/>
          <w:sz w:val="22"/>
          <w:szCs w:val="22"/>
        </w:rPr>
        <w:t xml:space="preserve">If you are in financial hardship and/or have no income you may be eligible for </w:t>
      </w:r>
      <w:r w:rsidR="001C38FE" w:rsidRPr="00B6698E">
        <w:rPr>
          <w:rFonts w:ascii="Arial" w:hAnsi="Arial" w:cs="Arial"/>
          <w:b/>
          <w:sz w:val="22"/>
          <w:szCs w:val="22"/>
          <w:u w:val="single"/>
        </w:rPr>
        <w:t>the residents support scheme</w:t>
      </w:r>
      <w:r w:rsidRPr="00B6698E">
        <w:rPr>
          <w:rFonts w:ascii="Arial" w:hAnsi="Arial" w:cs="Arial"/>
          <w:sz w:val="22"/>
          <w:szCs w:val="22"/>
        </w:rPr>
        <w:t xml:space="preserve"> or </w:t>
      </w:r>
      <w:r w:rsidRPr="00B6698E">
        <w:rPr>
          <w:rFonts w:ascii="Arial" w:hAnsi="Arial" w:cs="Arial"/>
          <w:b/>
          <w:sz w:val="22"/>
          <w:szCs w:val="22"/>
          <w:u w:val="single"/>
        </w:rPr>
        <w:t>foodbank</w:t>
      </w:r>
      <w:r w:rsidRPr="00B6698E">
        <w:rPr>
          <w:rFonts w:ascii="Arial" w:hAnsi="Arial" w:cs="Arial"/>
          <w:sz w:val="22"/>
          <w:szCs w:val="22"/>
        </w:rPr>
        <w:t xml:space="preserve"> vouchers </w:t>
      </w:r>
      <w:hyperlink r:id="rId16" w:history="1">
        <w:r w:rsidR="00FD0525" w:rsidRPr="00B6698E">
          <w:rPr>
            <w:rStyle w:val="Hyperlink"/>
            <w:rFonts w:ascii="Arial" w:hAnsi="Arial" w:cs="Arial"/>
            <w:sz w:val="22"/>
            <w:szCs w:val="22"/>
          </w:rPr>
          <w:t>https://www.towerhamlets.gov.uk/lgnl/advice_and_benefits/Residents_Support_Scheme.aspx</w:t>
        </w:r>
      </w:hyperlink>
      <w:r w:rsidR="00FD0525" w:rsidRPr="00B6698E">
        <w:rPr>
          <w:rFonts w:ascii="Arial" w:hAnsi="Arial" w:cs="Arial"/>
          <w:sz w:val="22"/>
          <w:szCs w:val="22"/>
        </w:rPr>
        <w:t xml:space="preserve"> </w:t>
      </w:r>
    </w:p>
    <w:p w14:paraId="5BB2C956" w14:textId="77777777" w:rsidR="007B59BC" w:rsidRPr="00B6698E" w:rsidRDefault="007B59BC" w:rsidP="00AE3089">
      <w:pPr>
        <w:pStyle w:val="PlainText"/>
        <w:ind w:left="284" w:right="204"/>
        <w:jc w:val="center"/>
        <w:rPr>
          <w:rFonts w:ascii="Arial" w:hAnsi="Arial" w:cs="Arial"/>
          <w:sz w:val="22"/>
          <w:szCs w:val="22"/>
        </w:rPr>
      </w:pPr>
      <w:r w:rsidRPr="00B6698E">
        <w:rPr>
          <w:rFonts w:ascii="Arial" w:hAnsi="Arial" w:cs="Arial"/>
          <w:sz w:val="22"/>
          <w:szCs w:val="22"/>
        </w:rPr>
        <w:t>Advice centres can help you access these</w:t>
      </w:r>
    </w:p>
    <w:p w14:paraId="74E2BF4E" w14:textId="77777777" w:rsidR="008663E8" w:rsidRPr="00B6698E" w:rsidRDefault="008663E8" w:rsidP="00AE3089">
      <w:pPr>
        <w:ind w:left="284" w:right="204"/>
        <w:rPr>
          <w:rFonts w:ascii="Arial" w:hAnsi="Arial" w:cs="Arial"/>
          <w:sz w:val="20"/>
          <w:szCs w:val="20"/>
        </w:rPr>
      </w:pPr>
    </w:p>
    <w:p w14:paraId="39D21616" w14:textId="77777777" w:rsidR="007B59BC" w:rsidRPr="00B6698E" w:rsidRDefault="007B59BC" w:rsidP="00AE3089">
      <w:pPr>
        <w:ind w:left="284" w:right="204"/>
        <w:rPr>
          <w:rFonts w:ascii="Arial" w:hAnsi="Arial" w:cs="Arial"/>
          <w:sz w:val="20"/>
          <w:szCs w:val="20"/>
        </w:rPr>
      </w:pPr>
    </w:p>
    <w:p w14:paraId="4BA6227B" w14:textId="77777777" w:rsidR="000974B5" w:rsidRPr="00B6698E" w:rsidRDefault="000974B5" w:rsidP="00AE3089">
      <w:pPr>
        <w:ind w:left="284" w:right="204"/>
        <w:rPr>
          <w:rFonts w:ascii="Arial" w:hAnsi="Arial" w:cs="Arial"/>
          <w:sz w:val="20"/>
          <w:szCs w:val="20"/>
        </w:rPr>
      </w:pPr>
    </w:p>
    <w:p w14:paraId="3F85B661" w14:textId="77777777" w:rsidR="008663E8" w:rsidRPr="00B6698E" w:rsidRDefault="008663E8" w:rsidP="00AE3089">
      <w:pPr>
        <w:ind w:left="284" w:right="204"/>
        <w:jc w:val="center"/>
        <w:rPr>
          <w:rFonts w:ascii="Arial" w:hAnsi="Arial" w:cs="Arial"/>
          <w:b/>
          <w:sz w:val="28"/>
          <w:szCs w:val="28"/>
        </w:rPr>
      </w:pPr>
      <w:r w:rsidRPr="00B6698E">
        <w:rPr>
          <w:rFonts w:ascii="Arial" w:hAnsi="Arial" w:cs="Arial"/>
          <w:b/>
          <w:sz w:val="28"/>
          <w:szCs w:val="28"/>
        </w:rPr>
        <w:t xml:space="preserve">You can obtain advice on dealing with reviews and appeals from a number of advice </w:t>
      </w:r>
      <w:r w:rsidR="000974B5" w:rsidRPr="00B6698E">
        <w:rPr>
          <w:rFonts w:ascii="Arial" w:hAnsi="Arial" w:cs="Arial"/>
          <w:b/>
          <w:sz w:val="28"/>
          <w:szCs w:val="28"/>
        </w:rPr>
        <w:t>centers</w:t>
      </w:r>
      <w:r w:rsidRPr="00B6698E">
        <w:rPr>
          <w:rFonts w:ascii="Arial" w:hAnsi="Arial" w:cs="Arial"/>
          <w:b/>
          <w:sz w:val="28"/>
          <w:szCs w:val="28"/>
        </w:rPr>
        <w:t xml:space="preserve"> in Tower Hamlets, wwww.thcan.org.uk </w:t>
      </w:r>
      <w:r w:rsidR="000974B5" w:rsidRPr="00B6698E">
        <w:rPr>
          <w:rFonts w:ascii="Arial" w:hAnsi="Arial" w:cs="Arial"/>
          <w:b/>
          <w:sz w:val="28"/>
          <w:szCs w:val="28"/>
        </w:rPr>
        <w:t>lists agencies, factsheets, opening times, services</w:t>
      </w:r>
    </w:p>
    <w:p w14:paraId="21331DF4" w14:textId="7C77DCC1" w:rsidR="007B59BC" w:rsidRPr="008F35EB" w:rsidRDefault="005375F7" w:rsidP="008F35EB">
      <w:pPr>
        <w:ind w:left="284" w:right="204"/>
        <w:jc w:val="center"/>
        <w:rPr>
          <w:rFonts w:ascii="Arial" w:hAnsi="Arial" w:cs="Arial"/>
          <w:b/>
          <w:sz w:val="28"/>
          <w:szCs w:val="28"/>
        </w:rPr>
      </w:pPr>
      <w:hyperlink r:id="rId17" w:history="1">
        <w:r w:rsidR="008663E8" w:rsidRPr="00B6698E">
          <w:rPr>
            <w:rStyle w:val="Hyperlink"/>
            <w:rFonts w:ascii="Arial" w:hAnsi="Arial" w:cs="Arial"/>
            <w:b/>
            <w:sz w:val="28"/>
            <w:szCs w:val="28"/>
          </w:rPr>
          <w:t>http://thcan.org.uk/benefits-advice/</w:t>
        </w:r>
      </w:hyperlink>
    </w:p>
    <w:sectPr w:rsidR="007B59BC" w:rsidRPr="008F35EB" w:rsidSect="000974B5">
      <w:headerReference w:type="default" r:id="rId18"/>
      <w:footerReference w:type="even" r:id="rId19"/>
      <w:footerReference w:type="default" r:id="rId20"/>
      <w:headerReference w:type="first" r:id="rId21"/>
      <w:footerReference w:type="first" r:id="rId22"/>
      <w:type w:val="continuous"/>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C6361" w14:textId="77777777" w:rsidR="005375F7" w:rsidRDefault="005375F7" w:rsidP="00587EDC">
      <w:r>
        <w:separator/>
      </w:r>
    </w:p>
  </w:endnote>
  <w:endnote w:type="continuationSeparator" w:id="0">
    <w:p w14:paraId="5049B8BD" w14:textId="77777777" w:rsidR="005375F7" w:rsidRDefault="005375F7"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F6A8" w14:textId="77777777" w:rsidR="00156FAB" w:rsidRDefault="00156FAB">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end"/>
    </w:r>
  </w:p>
  <w:p w14:paraId="4DA25609" w14:textId="77777777" w:rsidR="00156FAB" w:rsidRDefault="00156FA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7C9E" w14:textId="77777777" w:rsidR="00156FAB" w:rsidRDefault="00156FAB">
    <w:pPr>
      <w:spacing w:line="14" w:lineRule="auto"/>
      <w:ind w:right="360"/>
      <w:rPr>
        <w:sz w:val="20"/>
        <w:szCs w:val="20"/>
      </w:rPr>
    </w:pPr>
  </w:p>
  <w:p w14:paraId="43EE63CF" w14:textId="77777777" w:rsidR="00156FAB" w:rsidRDefault="00156FAB">
    <w:pPr>
      <w:pBdr>
        <w:top w:val="nil"/>
        <w:left w:val="nil"/>
        <w:bottom w:val="nil"/>
        <w:right w:val="nil"/>
        <w:between w:val="nil"/>
      </w:pBdr>
      <w:tabs>
        <w:tab w:val="center" w:pos="4320"/>
        <w:tab w:val="right" w:pos="8640"/>
      </w:tabs>
      <w:rPr>
        <w:color w:val="262626"/>
      </w:rPr>
    </w:pPr>
    <w:r>
      <w:rPr>
        <w:color w:val="262626"/>
      </w:rPr>
      <w:fldChar w:fldCharType="begin"/>
    </w:r>
    <w:r>
      <w:rPr>
        <w:rFonts w:ascii="Calibri" w:eastAsia="Calibri" w:hAnsi="Calibri" w:cs="Calibri"/>
        <w:color w:val="262626"/>
      </w:rPr>
      <w:instrText>PAGE</w:instrText>
    </w:r>
    <w:r>
      <w:rPr>
        <w:color w:val="262626"/>
      </w:rPr>
      <w:fldChar w:fldCharType="separate"/>
    </w:r>
    <w:r>
      <w:rPr>
        <w:noProof/>
        <w:color w:val="262626"/>
      </w:rPr>
      <w:t>2</w:t>
    </w:r>
    <w:r>
      <w:rPr>
        <w:color w:val="262626"/>
      </w:rPr>
      <w:fldChar w:fldCharType="end"/>
    </w:r>
  </w:p>
  <w:p w14:paraId="2B77CEB3" w14:textId="77777777" w:rsidR="00156FAB" w:rsidRDefault="00156FA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CEF2" w14:textId="77777777" w:rsidR="00156FAB" w:rsidRDefault="00156FAB">
    <w:pPr>
      <w:spacing w:line="14" w:lineRule="auto"/>
      <w:rPr>
        <w:sz w:val="20"/>
        <w:szCs w:val="20"/>
      </w:rPr>
    </w:pPr>
  </w:p>
  <w:p w14:paraId="5D051DB6" w14:textId="77777777" w:rsidR="00156FAB" w:rsidRDefault="00156FAB">
    <w:pPr>
      <w:pBdr>
        <w:top w:val="nil"/>
        <w:left w:val="nil"/>
        <w:bottom w:val="nil"/>
        <w:right w:val="nil"/>
        <w:between w:val="nil"/>
      </w:pBdr>
      <w:tabs>
        <w:tab w:val="center" w:pos="4320"/>
        <w:tab w:val="right" w:pos="8640"/>
        <w:tab w:val="left" w:pos="2480"/>
        <w:tab w:val="left" w:pos="3265"/>
      </w:tabs>
      <w:ind w:left="284"/>
      <w:rPr>
        <w:color w:val="000000"/>
      </w:rPr>
    </w:pPr>
    <w:r>
      <w:rPr>
        <w:rFonts w:ascii="Calibri" w:eastAsia="Calibri" w:hAnsi="Calibri" w:cs="Calibri"/>
        <w:color w:val="000000"/>
      </w:rPr>
      <w:tab/>
    </w:r>
    <w:r>
      <w:rPr>
        <w:rFonts w:ascii="Calibri" w:eastAsia="Calibri" w:hAnsi="Calibri" w:cs="Calibri"/>
        <w:color w:val="00000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026D" w14:textId="77777777" w:rsidR="0056008E" w:rsidRDefault="0056008E" w:rsidP="00D9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60370" w14:textId="77777777" w:rsidR="0056008E" w:rsidRDefault="0056008E" w:rsidP="004C3CA2">
    <w:pPr>
      <w:pStyle w:val="Footer"/>
      <w:ind w:right="360"/>
    </w:pPr>
  </w:p>
  <w:p w14:paraId="73BD15CC" w14:textId="77777777" w:rsidR="009D38BF" w:rsidRDefault="009D38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CD9E" w14:textId="77777777" w:rsidR="0056008E" w:rsidRDefault="0056008E" w:rsidP="004C3CA2">
    <w:pPr>
      <w:spacing w:line="14" w:lineRule="auto"/>
      <w:ind w:right="360"/>
      <w:rPr>
        <w:sz w:val="20"/>
        <w:szCs w:val="20"/>
      </w:rPr>
    </w:pPr>
  </w:p>
  <w:p w14:paraId="5B27D514" w14:textId="77777777" w:rsidR="0056008E" w:rsidRPr="004C3CA2" w:rsidRDefault="0056008E"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65349B">
      <w:rPr>
        <w:rStyle w:val="PageNumber"/>
        <w:noProof/>
        <w:color w:val="262626" w:themeColor="text1" w:themeTint="D9"/>
      </w:rPr>
      <w:t>4</w:t>
    </w:r>
    <w:r w:rsidRPr="004C3CA2">
      <w:rPr>
        <w:rStyle w:val="PageNumber"/>
        <w:color w:val="262626" w:themeColor="text1" w:themeTint="D9"/>
      </w:rPr>
      <w:fldChar w:fldCharType="end"/>
    </w:r>
  </w:p>
  <w:p w14:paraId="22264053" w14:textId="77777777" w:rsidR="0056008E" w:rsidRDefault="0056008E">
    <w:pPr>
      <w:pStyle w:val="Footer"/>
    </w:pPr>
    <w:r>
      <w:rPr>
        <w:noProof/>
        <w:lang w:val="en-GB" w:eastAsia="en-GB"/>
      </w:rPr>
      <mc:AlternateContent>
        <mc:Choice Requires="wps">
          <w:drawing>
            <wp:anchor distT="0" distB="0" distL="114300" distR="114300" simplePos="0" relativeHeight="251662336" behindDoc="1" locked="0" layoutInCell="1" allowOverlap="1" wp14:anchorId="7902E4B1" wp14:editId="7F0C528F">
              <wp:simplePos x="0" y="0"/>
              <wp:positionH relativeFrom="page">
                <wp:posOffset>459740</wp:posOffset>
              </wp:positionH>
              <wp:positionV relativeFrom="page">
                <wp:posOffset>10185400</wp:posOffset>
              </wp:positionV>
              <wp:extent cx="6534785" cy="311150"/>
              <wp:effectExtent l="0" t="0" r="18415" b="1270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3111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49805FF" w14:textId="672876D8" w:rsidR="0056008E" w:rsidRPr="00C20DD2" w:rsidRDefault="0056008E" w:rsidP="00C20DD2">
                          <w:pPr>
                            <w:pStyle w:val="BodyText"/>
                            <w:spacing w:line="240" w:lineRule="exact"/>
                            <w:ind w:left="20"/>
                            <w:rPr>
                              <w:rFonts w:cs="Arial"/>
                              <w:sz w:val="18"/>
                              <w:szCs w:val="18"/>
                            </w:rPr>
                          </w:pPr>
                          <w:r w:rsidRPr="00C20DD2">
                            <w:rPr>
                              <w:rFonts w:cs="Arial"/>
                              <w:color w:val="58595B"/>
                              <w:sz w:val="18"/>
                              <w:szCs w:val="18"/>
                            </w:rPr>
                            <w:t>Factsheet</w:t>
                          </w:r>
                          <w:r w:rsidRPr="00C20DD2">
                            <w:rPr>
                              <w:rFonts w:cs="Arial"/>
                              <w:color w:val="58595B"/>
                              <w:spacing w:val="-2"/>
                              <w:sz w:val="18"/>
                              <w:szCs w:val="18"/>
                            </w:rPr>
                            <w:t xml:space="preserve"> </w:t>
                          </w:r>
                          <w:r w:rsidRPr="00C20DD2">
                            <w:rPr>
                              <w:rFonts w:cs="Arial"/>
                              <w:color w:val="58595B"/>
                              <w:sz w:val="18"/>
                              <w:szCs w:val="18"/>
                            </w:rPr>
                            <w:t>name</w:t>
                          </w:r>
                          <w:r w:rsidRPr="00C20DD2">
                            <w:rPr>
                              <w:rFonts w:cs="Arial"/>
                              <w:color w:val="58595B"/>
                              <w:spacing w:val="-1"/>
                              <w:sz w:val="18"/>
                              <w:szCs w:val="18"/>
                            </w:rPr>
                            <w:t xml:space="preserve"> </w:t>
                          </w:r>
                          <w:r w:rsidRPr="00C20DD2">
                            <w:rPr>
                              <w:rFonts w:cs="Arial"/>
                              <w:color w:val="58595B"/>
                              <w:sz w:val="18"/>
                              <w:szCs w:val="18"/>
                            </w:rPr>
                            <w:t>|</w:t>
                          </w:r>
                          <w:r w:rsidRPr="00C20DD2">
                            <w:rPr>
                              <w:rFonts w:cs="Arial"/>
                              <w:color w:val="58595B"/>
                              <w:spacing w:val="-1"/>
                              <w:sz w:val="18"/>
                              <w:szCs w:val="18"/>
                            </w:rPr>
                            <w:t xml:space="preserve"> </w:t>
                          </w:r>
                          <w:r w:rsidRPr="00C20DD2">
                            <w:rPr>
                              <w:rFonts w:cs="Arial"/>
                              <w:color w:val="58595B"/>
                              <w:sz w:val="18"/>
                              <w:szCs w:val="18"/>
                            </w:rPr>
                            <w:t>©</w:t>
                          </w:r>
                          <w:r w:rsidRPr="00C20DD2">
                            <w:rPr>
                              <w:rFonts w:cs="Arial"/>
                              <w:color w:val="58595B"/>
                              <w:spacing w:val="-1"/>
                              <w:sz w:val="18"/>
                              <w:szCs w:val="18"/>
                            </w:rPr>
                            <w:t xml:space="preserve"> </w:t>
                          </w:r>
                          <w:r w:rsidRPr="00C20DD2">
                            <w:rPr>
                              <w:rFonts w:cs="Arial"/>
                              <w:color w:val="58595B"/>
                              <w:sz w:val="18"/>
                              <w:szCs w:val="18"/>
                            </w:rPr>
                            <w:t>Tower Hamlets Community Advice Network</w:t>
                          </w:r>
                          <w:r w:rsidRPr="00C20DD2">
                            <w:rPr>
                              <w:rFonts w:cs="Arial"/>
                              <w:color w:val="58595B"/>
                              <w:spacing w:val="-2"/>
                              <w:sz w:val="18"/>
                              <w:szCs w:val="18"/>
                            </w:rPr>
                            <w:t xml:space="preserve"> | </w:t>
                          </w:r>
                          <w:r w:rsidR="00C20DD2">
                            <w:rPr>
                              <w:rFonts w:cs="Arial"/>
                              <w:color w:val="58595B"/>
                              <w:sz w:val="18"/>
                              <w:szCs w:val="18"/>
                            </w:rPr>
                            <w:t>April 2021</w:t>
                          </w:r>
                        </w:p>
                        <w:p w14:paraId="272AB45F" w14:textId="77777777" w:rsidR="0056008E" w:rsidRDefault="0056008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2E4B1" id="_x0000_t202" coordsize="21600,21600" o:spt="202" path="m,l,21600r21600,l21600,xe">
              <v:stroke joinstyle="miter"/>
              <v:path gradientshapeok="t" o:connecttype="rect"/>
            </v:shapetype>
            <v:shape id="Text Box 4" o:spid="_x0000_s1026" type="#_x0000_t202" style="position:absolute;margin-left:36.2pt;margin-top:802pt;width:514.55pt;height:2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" filled="f" stroked="f">
              <v:textbox inset="0,0,0,0">
                <w:txbxContent>
                  <w:p w14:paraId="149805FF" w14:textId="672876D8" w:rsidR="0056008E" w:rsidRPr="00C20DD2" w:rsidRDefault="0056008E" w:rsidP="00C20DD2">
                    <w:pPr>
                      <w:pStyle w:val="BodyText"/>
                      <w:spacing w:line="240" w:lineRule="exact"/>
                      <w:ind w:left="20"/>
                      <w:rPr>
                        <w:rFonts w:cs="Arial"/>
                        <w:sz w:val="18"/>
                        <w:szCs w:val="18"/>
                      </w:rPr>
                    </w:pPr>
                    <w:r w:rsidRPr="00C20DD2">
                      <w:rPr>
                        <w:rFonts w:cs="Arial"/>
                        <w:color w:val="58595B"/>
                        <w:sz w:val="18"/>
                        <w:szCs w:val="18"/>
                      </w:rPr>
                      <w:t>Factsheet</w:t>
                    </w:r>
                    <w:r w:rsidRPr="00C20DD2">
                      <w:rPr>
                        <w:rFonts w:cs="Arial"/>
                        <w:color w:val="58595B"/>
                        <w:spacing w:val="-2"/>
                        <w:sz w:val="18"/>
                        <w:szCs w:val="18"/>
                      </w:rPr>
                      <w:t xml:space="preserve"> </w:t>
                    </w:r>
                    <w:r w:rsidRPr="00C20DD2">
                      <w:rPr>
                        <w:rFonts w:cs="Arial"/>
                        <w:color w:val="58595B"/>
                        <w:sz w:val="18"/>
                        <w:szCs w:val="18"/>
                      </w:rPr>
                      <w:t>name</w:t>
                    </w:r>
                    <w:r w:rsidRPr="00C20DD2">
                      <w:rPr>
                        <w:rFonts w:cs="Arial"/>
                        <w:color w:val="58595B"/>
                        <w:spacing w:val="-1"/>
                        <w:sz w:val="18"/>
                        <w:szCs w:val="18"/>
                      </w:rPr>
                      <w:t xml:space="preserve"> </w:t>
                    </w:r>
                    <w:r w:rsidRPr="00C20DD2">
                      <w:rPr>
                        <w:rFonts w:cs="Arial"/>
                        <w:color w:val="58595B"/>
                        <w:sz w:val="18"/>
                        <w:szCs w:val="18"/>
                      </w:rPr>
                      <w:t>|</w:t>
                    </w:r>
                    <w:r w:rsidRPr="00C20DD2">
                      <w:rPr>
                        <w:rFonts w:cs="Arial"/>
                        <w:color w:val="58595B"/>
                        <w:spacing w:val="-1"/>
                        <w:sz w:val="18"/>
                        <w:szCs w:val="18"/>
                      </w:rPr>
                      <w:t xml:space="preserve"> </w:t>
                    </w:r>
                    <w:r w:rsidRPr="00C20DD2">
                      <w:rPr>
                        <w:rFonts w:cs="Arial"/>
                        <w:color w:val="58595B"/>
                        <w:sz w:val="18"/>
                        <w:szCs w:val="18"/>
                      </w:rPr>
                      <w:t>©</w:t>
                    </w:r>
                    <w:r w:rsidRPr="00C20DD2">
                      <w:rPr>
                        <w:rFonts w:cs="Arial"/>
                        <w:color w:val="58595B"/>
                        <w:spacing w:val="-1"/>
                        <w:sz w:val="18"/>
                        <w:szCs w:val="18"/>
                      </w:rPr>
                      <w:t xml:space="preserve"> </w:t>
                    </w:r>
                    <w:r w:rsidRPr="00C20DD2">
                      <w:rPr>
                        <w:rFonts w:cs="Arial"/>
                        <w:color w:val="58595B"/>
                        <w:sz w:val="18"/>
                        <w:szCs w:val="18"/>
                      </w:rPr>
                      <w:t>Tower Hamlets Community Advice Network</w:t>
                    </w:r>
                    <w:r w:rsidRPr="00C20DD2">
                      <w:rPr>
                        <w:rFonts w:cs="Arial"/>
                        <w:color w:val="58595B"/>
                        <w:spacing w:val="-2"/>
                        <w:sz w:val="18"/>
                        <w:szCs w:val="18"/>
                      </w:rPr>
                      <w:t xml:space="preserve"> | </w:t>
                    </w:r>
                    <w:r w:rsidR="00C20DD2">
                      <w:rPr>
                        <w:rFonts w:cs="Arial"/>
                        <w:color w:val="58595B"/>
                        <w:sz w:val="18"/>
                        <w:szCs w:val="18"/>
                      </w:rPr>
                      <w:t>April 2021</w:t>
                    </w:r>
                  </w:p>
                  <w:p w14:paraId="272AB45F" w14:textId="77777777" w:rsidR="0056008E" w:rsidRDefault="0056008E" w:rsidP="00A52133">
                    <w:pPr>
                      <w:pStyle w:val="BodyText"/>
                      <w:spacing w:line="240" w:lineRule="exact"/>
                      <w:ind w:left="20"/>
                      <w:rPr>
                        <w:rFonts w:cs="Calibri"/>
                      </w:rPr>
                    </w:pPr>
                  </w:p>
                </w:txbxContent>
              </v:textbox>
              <w10:wrap anchorx="page" anchory="page"/>
            </v:shape>
          </w:pict>
        </mc:Fallback>
      </mc:AlternateContent>
    </w:r>
  </w:p>
  <w:p w14:paraId="0D5B55FB" w14:textId="77777777" w:rsidR="009D38BF" w:rsidRDefault="009D38B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6F5E" w14:textId="77777777" w:rsidR="0056008E" w:rsidRDefault="0056008E" w:rsidP="00A52133">
    <w:pPr>
      <w:spacing w:line="14" w:lineRule="auto"/>
      <w:rPr>
        <w:sz w:val="20"/>
        <w:szCs w:val="20"/>
      </w:rPr>
    </w:pPr>
  </w:p>
  <w:p w14:paraId="5FED50BC" w14:textId="77777777" w:rsidR="0056008E" w:rsidRPr="00A52133" w:rsidRDefault="0056008E"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14:anchorId="2D22DC64" wp14:editId="2D6DA5FF">
              <wp:simplePos x="0" y="0"/>
              <wp:positionH relativeFrom="page">
                <wp:posOffset>444500</wp:posOffset>
              </wp:positionH>
              <wp:positionV relativeFrom="page">
                <wp:posOffset>10109200</wp:posOffset>
              </wp:positionV>
              <wp:extent cx="4052570" cy="146685"/>
              <wp:effectExtent l="0" t="0" r="508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967A57D" w14:textId="355C4A96" w:rsidR="0056008E" w:rsidRPr="00C20DD2" w:rsidRDefault="0056008E" w:rsidP="004C3CA2">
                          <w:pPr>
                            <w:pStyle w:val="BodyText"/>
                            <w:spacing w:line="240" w:lineRule="exact"/>
                            <w:ind w:left="20"/>
                            <w:rPr>
                              <w:rFonts w:cs="Arial"/>
                              <w:sz w:val="18"/>
                              <w:szCs w:val="18"/>
                            </w:rPr>
                          </w:pPr>
                          <w:r w:rsidRPr="00C20DD2">
                            <w:rPr>
                              <w:rFonts w:cs="Arial"/>
                              <w:color w:val="58595B"/>
                              <w:sz w:val="18"/>
                              <w:szCs w:val="18"/>
                            </w:rPr>
                            <w:t>Factsheet</w:t>
                          </w:r>
                          <w:r w:rsidRPr="00C20DD2">
                            <w:rPr>
                              <w:rFonts w:cs="Arial"/>
                              <w:color w:val="58595B"/>
                              <w:spacing w:val="-2"/>
                              <w:sz w:val="18"/>
                              <w:szCs w:val="18"/>
                            </w:rPr>
                            <w:t xml:space="preserve"> </w:t>
                          </w:r>
                          <w:r w:rsidRPr="00C20DD2">
                            <w:rPr>
                              <w:rFonts w:cs="Arial"/>
                              <w:color w:val="58595B"/>
                              <w:sz w:val="18"/>
                              <w:szCs w:val="18"/>
                            </w:rPr>
                            <w:t>name</w:t>
                          </w:r>
                          <w:r w:rsidRPr="00C20DD2">
                            <w:rPr>
                              <w:rFonts w:cs="Arial"/>
                              <w:color w:val="58595B"/>
                              <w:spacing w:val="-1"/>
                              <w:sz w:val="18"/>
                              <w:szCs w:val="18"/>
                            </w:rPr>
                            <w:t xml:space="preserve"> </w:t>
                          </w:r>
                          <w:r w:rsidRPr="00C20DD2">
                            <w:rPr>
                              <w:rFonts w:cs="Arial"/>
                              <w:color w:val="58595B"/>
                              <w:sz w:val="18"/>
                              <w:szCs w:val="18"/>
                            </w:rPr>
                            <w:t>|</w:t>
                          </w:r>
                          <w:r w:rsidRPr="00C20DD2">
                            <w:rPr>
                              <w:rFonts w:cs="Arial"/>
                              <w:color w:val="58595B"/>
                              <w:spacing w:val="-1"/>
                              <w:sz w:val="18"/>
                              <w:szCs w:val="18"/>
                            </w:rPr>
                            <w:t xml:space="preserve"> </w:t>
                          </w:r>
                          <w:r w:rsidRPr="00C20DD2">
                            <w:rPr>
                              <w:rFonts w:cs="Arial"/>
                              <w:color w:val="58595B"/>
                              <w:sz w:val="18"/>
                              <w:szCs w:val="18"/>
                            </w:rPr>
                            <w:t>©</w:t>
                          </w:r>
                          <w:r w:rsidRPr="00C20DD2">
                            <w:rPr>
                              <w:rFonts w:cs="Arial"/>
                              <w:color w:val="58595B"/>
                              <w:spacing w:val="-1"/>
                              <w:sz w:val="18"/>
                              <w:szCs w:val="18"/>
                            </w:rPr>
                            <w:t xml:space="preserve"> </w:t>
                          </w:r>
                          <w:r w:rsidRPr="00C20DD2">
                            <w:rPr>
                              <w:rFonts w:cs="Arial"/>
                              <w:color w:val="58595B"/>
                              <w:sz w:val="18"/>
                              <w:szCs w:val="18"/>
                            </w:rPr>
                            <w:t>Tower Hamlets Community Advice Network</w:t>
                          </w:r>
                          <w:r w:rsidR="0065349B" w:rsidRPr="00C20DD2">
                            <w:rPr>
                              <w:rFonts w:cs="Arial"/>
                              <w:color w:val="58595B"/>
                              <w:spacing w:val="-2"/>
                              <w:sz w:val="18"/>
                              <w:szCs w:val="18"/>
                            </w:rPr>
                            <w:t xml:space="preserve"> | </w:t>
                          </w:r>
                          <w:r w:rsidR="00C20DD2" w:rsidRPr="00C20DD2">
                            <w:rPr>
                              <w:rFonts w:cs="Arial"/>
                              <w:color w:val="58595B"/>
                              <w:spacing w:val="-2"/>
                              <w:sz w:val="18"/>
                              <w:szCs w:val="18"/>
                            </w:rPr>
                            <w:t>April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2DC64"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" filled="f" stroked="f">
              <v:textbox inset="0,0,0,0">
                <w:txbxContent>
                  <w:p w14:paraId="0967A57D" w14:textId="355C4A96" w:rsidR="0056008E" w:rsidRPr="00C20DD2" w:rsidRDefault="0056008E" w:rsidP="004C3CA2">
                    <w:pPr>
                      <w:pStyle w:val="BodyText"/>
                      <w:spacing w:line="240" w:lineRule="exact"/>
                      <w:ind w:left="20"/>
                      <w:rPr>
                        <w:rFonts w:cs="Arial"/>
                        <w:sz w:val="18"/>
                        <w:szCs w:val="18"/>
                      </w:rPr>
                    </w:pPr>
                    <w:r w:rsidRPr="00C20DD2">
                      <w:rPr>
                        <w:rFonts w:cs="Arial"/>
                        <w:color w:val="58595B"/>
                        <w:sz w:val="18"/>
                        <w:szCs w:val="18"/>
                      </w:rPr>
                      <w:t>Factsheet</w:t>
                    </w:r>
                    <w:r w:rsidRPr="00C20DD2">
                      <w:rPr>
                        <w:rFonts w:cs="Arial"/>
                        <w:color w:val="58595B"/>
                        <w:spacing w:val="-2"/>
                        <w:sz w:val="18"/>
                        <w:szCs w:val="18"/>
                      </w:rPr>
                      <w:t xml:space="preserve"> </w:t>
                    </w:r>
                    <w:r w:rsidRPr="00C20DD2">
                      <w:rPr>
                        <w:rFonts w:cs="Arial"/>
                        <w:color w:val="58595B"/>
                        <w:sz w:val="18"/>
                        <w:szCs w:val="18"/>
                      </w:rPr>
                      <w:t>name</w:t>
                    </w:r>
                    <w:r w:rsidRPr="00C20DD2">
                      <w:rPr>
                        <w:rFonts w:cs="Arial"/>
                        <w:color w:val="58595B"/>
                        <w:spacing w:val="-1"/>
                        <w:sz w:val="18"/>
                        <w:szCs w:val="18"/>
                      </w:rPr>
                      <w:t xml:space="preserve"> </w:t>
                    </w:r>
                    <w:r w:rsidRPr="00C20DD2">
                      <w:rPr>
                        <w:rFonts w:cs="Arial"/>
                        <w:color w:val="58595B"/>
                        <w:sz w:val="18"/>
                        <w:szCs w:val="18"/>
                      </w:rPr>
                      <w:t>|</w:t>
                    </w:r>
                    <w:r w:rsidRPr="00C20DD2">
                      <w:rPr>
                        <w:rFonts w:cs="Arial"/>
                        <w:color w:val="58595B"/>
                        <w:spacing w:val="-1"/>
                        <w:sz w:val="18"/>
                        <w:szCs w:val="18"/>
                      </w:rPr>
                      <w:t xml:space="preserve"> </w:t>
                    </w:r>
                    <w:r w:rsidRPr="00C20DD2">
                      <w:rPr>
                        <w:rFonts w:cs="Arial"/>
                        <w:color w:val="58595B"/>
                        <w:sz w:val="18"/>
                        <w:szCs w:val="18"/>
                      </w:rPr>
                      <w:t>©</w:t>
                    </w:r>
                    <w:r w:rsidRPr="00C20DD2">
                      <w:rPr>
                        <w:rFonts w:cs="Arial"/>
                        <w:color w:val="58595B"/>
                        <w:spacing w:val="-1"/>
                        <w:sz w:val="18"/>
                        <w:szCs w:val="18"/>
                      </w:rPr>
                      <w:t xml:space="preserve"> </w:t>
                    </w:r>
                    <w:r w:rsidRPr="00C20DD2">
                      <w:rPr>
                        <w:rFonts w:cs="Arial"/>
                        <w:color w:val="58595B"/>
                        <w:sz w:val="18"/>
                        <w:szCs w:val="18"/>
                      </w:rPr>
                      <w:t>Tower Hamlets Community Advice Network</w:t>
                    </w:r>
                    <w:r w:rsidR="0065349B" w:rsidRPr="00C20DD2">
                      <w:rPr>
                        <w:rFonts w:cs="Arial"/>
                        <w:color w:val="58595B"/>
                        <w:spacing w:val="-2"/>
                        <w:sz w:val="18"/>
                        <w:szCs w:val="18"/>
                      </w:rPr>
                      <w:t xml:space="preserve"> | </w:t>
                    </w:r>
                    <w:r w:rsidR="00C20DD2" w:rsidRPr="00C20DD2">
                      <w:rPr>
                        <w:rFonts w:cs="Arial"/>
                        <w:color w:val="58595B"/>
                        <w:spacing w:val="-2"/>
                        <w:sz w:val="18"/>
                        <w:szCs w:val="18"/>
                      </w:rPr>
                      <w:t>April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6285EDEB" wp14:editId="470538BF">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114052B" w14:textId="77777777" w:rsidR="0056008E" w:rsidRDefault="0056008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5EDEB"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" filled="f" stroked="f">
              <v:textbox inset="0,0,0,0">
                <w:txbxContent>
                  <w:p w14:paraId="2114052B" w14:textId="77777777" w:rsidR="0056008E" w:rsidRDefault="0056008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2E5ED234" wp14:editId="06B2CE1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3CC502D" w14:textId="77777777" w:rsidR="0056008E" w:rsidRDefault="0056008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ED234"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" filled="f" stroked="f">
              <v:textbox inset="0,0,0,0">
                <w:txbxContent>
                  <w:p w14:paraId="43CC502D" w14:textId="77777777" w:rsidR="0056008E" w:rsidRDefault="0056008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C042C" w14:textId="77777777" w:rsidR="005375F7" w:rsidRDefault="005375F7" w:rsidP="00587EDC">
      <w:r>
        <w:separator/>
      </w:r>
    </w:p>
  </w:footnote>
  <w:footnote w:type="continuationSeparator" w:id="0">
    <w:p w14:paraId="2A2E156E" w14:textId="77777777" w:rsidR="005375F7" w:rsidRDefault="005375F7" w:rsidP="0058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486E" w14:textId="77777777" w:rsidR="00156FAB" w:rsidRDefault="00156FAB">
    <w:pPr>
      <w:pBdr>
        <w:top w:val="nil"/>
        <w:left w:val="nil"/>
        <w:bottom w:val="nil"/>
        <w:right w:val="nil"/>
        <w:between w:val="nil"/>
      </w:pBdr>
      <w:tabs>
        <w:tab w:val="center" w:pos="4320"/>
        <w:tab w:val="right" w:pos="8640"/>
      </w:tabs>
      <w:ind w:left="426"/>
      <w:rPr>
        <w:color w:val="000000"/>
      </w:rPr>
    </w:pPr>
  </w:p>
  <w:p w14:paraId="226C9CAC" w14:textId="77777777" w:rsidR="00156FAB" w:rsidRDefault="00156FA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EBBD" w14:textId="77777777" w:rsidR="00156FAB" w:rsidRDefault="00156FAB">
    <w:pPr>
      <w:pBdr>
        <w:top w:val="nil"/>
        <w:left w:val="nil"/>
        <w:bottom w:val="nil"/>
        <w:right w:val="nil"/>
        <w:between w:val="nil"/>
      </w:pBdr>
      <w:tabs>
        <w:tab w:val="center" w:pos="4320"/>
        <w:tab w:val="right" w:pos="8640"/>
        <w:tab w:val="right" w:pos="10632"/>
      </w:tabs>
      <w:ind w:left="426"/>
      <w:rPr>
        <w:color w:val="000000"/>
      </w:rPr>
    </w:pPr>
    <w:r>
      <w:rPr>
        <w:noProof/>
        <w:color w:val="000000"/>
      </w:rPr>
      <w:drawing>
        <wp:inline distT="0" distB="0" distL="0" distR="0" wp14:anchorId="62B6EF0D" wp14:editId="1EFDA1D0">
          <wp:extent cx="4916588" cy="7376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916588" cy="737641"/>
                  </a:xfrm>
                  <a:prstGeom prst="rect">
                    <a:avLst/>
                  </a:prstGeom>
                  <a:ln/>
                </pic:spPr>
              </pic:pic>
            </a:graphicData>
          </a:graphic>
        </wp:inline>
      </w:drawing>
    </w:r>
    <w:r>
      <w:rPr>
        <w:rFonts w:ascii="Calibri" w:eastAsia="Calibri" w:hAnsi="Calibri" w:cs="Calibri"/>
        <w:color w:val="000000"/>
      </w:rPr>
      <w:tab/>
    </w:r>
    <w:r>
      <w:rPr>
        <w:rFonts w:ascii="Calibri" w:eastAsia="Calibri" w:hAnsi="Calibri" w:cs="Calibri"/>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7C1B" w14:textId="77777777" w:rsidR="0056008E" w:rsidRDefault="0056008E" w:rsidP="00236478">
    <w:pPr>
      <w:pStyle w:val="Header"/>
      <w:ind w:left="426"/>
    </w:pPr>
  </w:p>
  <w:p w14:paraId="200DF180" w14:textId="77777777" w:rsidR="0056008E" w:rsidRDefault="0056008E">
    <w:pPr>
      <w:pStyle w:val="Header"/>
    </w:pPr>
  </w:p>
  <w:p w14:paraId="6B7D9A6E" w14:textId="77777777" w:rsidR="009D38BF" w:rsidRDefault="009D38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7001" w14:textId="77777777" w:rsidR="0056008E" w:rsidRDefault="0056008E" w:rsidP="004C3CA2">
    <w:pPr>
      <w:pStyle w:val="Header"/>
      <w:tabs>
        <w:tab w:val="clear" w:pos="8640"/>
        <w:tab w:val="right" w:pos="10632"/>
      </w:tabs>
      <w:ind w:left="426"/>
    </w:pPr>
    <w:r>
      <w:rPr>
        <w:noProof/>
        <w:lang w:val="en-GB" w:eastAsia="en-GB"/>
      </w:rPr>
      <w:drawing>
        <wp:inline distT="0" distB="0" distL="0" distR="0" wp14:anchorId="16C82652" wp14:editId="1772E0B2">
          <wp:extent cx="4916588" cy="737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Pr>
        <w:noProof/>
      </w:rPr>
      <w:tab/>
    </w:r>
    <w:r>
      <w:rPr>
        <w:noProof/>
      </w:rPr>
      <w:tab/>
    </w:r>
    <w:r w:rsidRPr="00A5213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951"/>
    <w:multiLevelType w:val="multilevel"/>
    <w:tmpl w:val="804EBB6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C92BE3"/>
    <w:multiLevelType w:val="hybridMultilevel"/>
    <w:tmpl w:val="AA6A35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8E83F2B"/>
    <w:multiLevelType w:val="hybridMultilevel"/>
    <w:tmpl w:val="4E6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F2E43"/>
    <w:multiLevelType w:val="hybridMultilevel"/>
    <w:tmpl w:val="E76239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2CF7232"/>
    <w:multiLevelType w:val="hybridMultilevel"/>
    <w:tmpl w:val="65FE18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2EE141F"/>
    <w:multiLevelType w:val="hybridMultilevel"/>
    <w:tmpl w:val="42A296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65C1811"/>
    <w:multiLevelType w:val="multilevel"/>
    <w:tmpl w:val="08EA5FE0"/>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7" w15:restartNumberingAfterBreak="0">
    <w:nsid w:val="3F4D1C42"/>
    <w:multiLevelType w:val="multilevel"/>
    <w:tmpl w:val="683666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28008B8"/>
    <w:multiLevelType w:val="multilevel"/>
    <w:tmpl w:val="5738987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B741DD2"/>
    <w:multiLevelType w:val="hybridMultilevel"/>
    <w:tmpl w:val="7436BABE"/>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6991EE6"/>
    <w:multiLevelType w:val="hybridMultilevel"/>
    <w:tmpl w:val="12C43242"/>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BCD32DE"/>
    <w:multiLevelType w:val="hybridMultilevel"/>
    <w:tmpl w:val="7E2CBDC0"/>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BE42E1D"/>
    <w:multiLevelType w:val="hybridMultilevel"/>
    <w:tmpl w:val="B63499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11"/>
  </w:num>
  <w:num w:numId="9">
    <w:abstractNumId w:val="0"/>
  </w:num>
  <w:num w:numId="10">
    <w:abstractNumId w:val="8"/>
  </w:num>
  <w:num w:numId="11">
    <w:abstractNumId w:val="6"/>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D9"/>
    <w:rsid w:val="00001F91"/>
    <w:rsid w:val="0001194F"/>
    <w:rsid w:val="00012CA5"/>
    <w:rsid w:val="0002483D"/>
    <w:rsid w:val="00040F76"/>
    <w:rsid w:val="00050DB5"/>
    <w:rsid w:val="00055294"/>
    <w:rsid w:val="0005593E"/>
    <w:rsid w:val="00062CF4"/>
    <w:rsid w:val="00063306"/>
    <w:rsid w:val="0007678C"/>
    <w:rsid w:val="00080F39"/>
    <w:rsid w:val="00087DB8"/>
    <w:rsid w:val="00094362"/>
    <w:rsid w:val="000974B5"/>
    <w:rsid w:val="000A02F3"/>
    <w:rsid w:val="000A2C74"/>
    <w:rsid w:val="000A4D14"/>
    <w:rsid w:val="000A679C"/>
    <w:rsid w:val="000B0F13"/>
    <w:rsid w:val="000B22E8"/>
    <w:rsid w:val="000B4837"/>
    <w:rsid w:val="000C0880"/>
    <w:rsid w:val="000D03F5"/>
    <w:rsid w:val="000D117B"/>
    <w:rsid w:val="000D57F0"/>
    <w:rsid w:val="000D7AA5"/>
    <w:rsid w:val="000E00D5"/>
    <w:rsid w:val="000E428B"/>
    <w:rsid w:val="000E7F59"/>
    <w:rsid w:val="000F2F1B"/>
    <w:rsid w:val="00105454"/>
    <w:rsid w:val="0011004E"/>
    <w:rsid w:val="00116B7F"/>
    <w:rsid w:val="001279D2"/>
    <w:rsid w:val="001409BF"/>
    <w:rsid w:val="00141B99"/>
    <w:rsid w:val="00153DBD"/>
    <w:rsid w:val="00156FAB"/>
    <w:rsid w:val="0016447A"/>
    <w:rsid w:val="001673F8"/>
    <w:rsid w:val="001733DC"/>
    <w:rsid w:val="00182238"/>
    <w:rsid w:val="00183CF9"/>
    <w:rsid w:val="001B1C35"/>
    <w:rsid w:val="001B5259"/>
    <w:rsid w:val="001C38FE"/>
    <w:rsid w:val="001C6721"/>
    <w:rsid w:val="001C78ED"/>
    <w:rsid w:val="001D0387"/>
    <w:rsid w:val="001D0FBC"/>
    <w:rsid w:val="001D3F1D"/>
    <w:rsid w:val="001D7010"/>
    <w:rsid w:val="001F1FF5"/>
    <w:rsid w:val="001F7D65"/>
    <w:rsid w:val="00203719"/>
    <w:rsid w:val="00204C60"/>
    <w:rsid w:val="00205991"/>
    <w:rsid w:val="00205F27"/>
    <w:rsid w:val="0020710E"/>
    <w:rsid w:val="00211B16"/>
    <w:rsid w:val="00214B95"/>
    <w:rsid w:val="00222B9F"/>
    <w:rsid w:val="00231D04"/>
    <w:rsid w:val="00233192"/>
    <w:rsid w:val="00235C28"/>
    <w:rsid w:val="00236478"/>
    <w:rsid w:val="0025210D"/>
    <w:rsid w:val="00260535"/>
    <w:rsid w:val="00261340"/>
    <w:rsid w:val="002704BB"/>
    <w:rsid w:val="00284627"/>
    <w:rsid w:val="00296DC6"/>
    <w:rsid w:val="002A47A8"/>
    <w:rsid w:val="002B0CC2"/>
    <w:rsid w:val="002B7190"/>
    <w:rsid w:val="002C0519"/>
    <w:rsid w:val="002C197A"/>
    <w:rsid w:val="002C28A7"/>
    <w:rsid w:val="002C2BF5"/>
    <w:rsid w:val="002E7D2C"/>
    <w:rsid w:val="002E7EFF"/>
    <w:rsid w:val="00301A5F"/>
    <w:rsid w:val="00312952"/>
    <w:rsid w:val="00315CBB"/>
    <w:rsid w:val="00320D83"/>
    <w:rsid w:val="00322031"/>
    <w:rsid w:val="00322A6E"/>
    <w:rsid w:val="00343D3B"/>
    <w:rsid w:val="00350313"/>
    <w:rsid w:val="00351C82"/>
    <w:rsid w:val="003572EB"/>
    <w:rsid w:val="00362C19"/>
    <w:rsid w:val="003662C7"/>
    <w:rsid w:val="00374622"/>
    <w:rsid w:val="00377870"/>
    <w:rsid w:val="00382249"/>
    <w:rsid w:val="0038377B"/>
    <w:rsid w:val="00385AA8"/>
    <w:rsid w:val="003914A5"/>
    <w:rsid w:val="00391685"/>
    <w:rsid w:val="003922ED"/>
    <w:rsid w:val="003A06D3"/>
    <w:rsid w:val="003A0BFD"/>
    <w:rsid w:val="003A11A3"/>
    <w:rsid w:val="003A1D04"/>
    <w:rsid w:val="003B75AE"/>
    <w:rsid w:val="003B77CE"/>
    <w:rsid w:val="003B791E"/>
    <w:rsid w:val="003C1416"/>
    <w:rsid w:val="003C1AEA"/>
    <w:rsid w:val="003C649F"/>
    <w:rsid w:val="003D5F6A"/>
    <w:rsid w:val="003E154B"/>
    <w:rsid w:val="003F413C"/>
    <w:rsid w:val="004014E0"/>
    <w:rsid w:val="00401D79"/>
    <w:rsid w:val="00403AA7"/>
    <w:rsid w:val="00415D92"/>
    <w:rsid w:val="004163A4"/>
    <w:rsid w:val="0043571A"/>
    <w:rsid w:val="00444561"/>
    <w:rsid w:val="00445CA2"/>
    <w:rsid w:val="00446341"/>
    <w:rsid w:val="00454AB0"/>
    <w:rsid w:val="0045753D"/>
    <w:rsid w:val="004627A4"/>
    <w:rsid w:val="00463F69"/>
    <w:rsid w:val="00464DCA"/>
    <w:rsid w:val="00465CAF"/>
    <w:rsid w:val="00467A13"/>
    <w:rsid w:val="0048022C"/>
    <w:rsid w:val="00485574"/>
    <w:rsid w:val="00485B91"/>
    <w:rsid w:val="00485DD2"/>
    <w:rsid w:val="004A59DA"/>
    <w:rsid w:val="004B0A7A"/>
    <w:rsid w:val="004B29A6"/>
    <w:rsid w:val="004C3CA2"/>
    <w:rsid w:val="004E2ABE"/>
    <w:rsid w:val="004E7B88"/>
    <w:rsid w:val="004F471B"/>
    <w:rsid w:val="00510006"/>
    <w:rsid w:val="00511515"/>
    <w:rsid w:val="00515792"/>
    <w:rsid w:val="00524B16"/>
    <w:rsid w:val="00530CAC"/>
    <w:rsid w:val="0053216E"/>
    <w:rsid w:val="005375F7"/>
    <w:rsid w:val="00543C27"/>
    <w:rsid w:val="00556300"/>
    <w:rsid w:val="0055644D"/>
    <w:rsid w:val="0056008E"/>
    <w:rsid w:val="00566AD4"/>
    <w:rsid w:val="00581F0F"/>
    <w:rsid w:val="00582BC5"/>
    <w:rsid w:val="00584BBD"/>
    <w:rsid w:val="00585E12"/>
    <w:rsid w:val="00587EDC"/>
    <w:rsid w:val="00591FD6"/>
    <w:rsid w:val="005A0048"/>
    <w:rsid w:val="005A1B15"/>
    <w:rsid w:val="005A30CE"/>
    <w:rsid w:val="005A649C"/>
    <w:rsid w:val="005A7D3A"/>
    <w:rsid w:val="005B60F0"/>
    <w:rsid w:val="005B67A5"/>
    <w:rsid w:val="005D0A39"/>
    <w:rsid w:val="005E524F"/>
    <w:rsid w:val="005F6366"/>
    <w:rsid w:val="00615ABF"/>
    <w:rsid w:val="006163E9"/>
    <w:rsid w:val="0061695D"/>
    <w:rsid w:val="0062079A"/>
    <w:rsid w:val="00620CFD"/>
    <w:rsid w:val="006232ED"/>
    <w:rsid w:val="00626C66"/>
    <w:rsid w:val="00635891"/>
    <w:rsid w:val="00637F5C"/>
    <w:rsid w:val="006409DE"/>
    <w:rsid w:val="00641ADE"/>
    <w:rsid w:val="0064489C"/>
    <w:rsid w:val="00650CD7"/>
    <w:rsid w:val="0065349B"/>
    <w:rsid w:val="00653F77"/>
    <w:rsid w:val="00660A94"/>
    <w:rsid w:val="006679DF"/>
    <w:rsid w:val="00686FBB"/>
    <w:rsid w:val="006914F8"/>
    <w:rsid w:val="006936AC"/>
    <w:rsid w:val="006A0BE0"/>
    <w:rsid w:val="006B675A"/>
    <w:rsid w:val="006C4705"/>
    <w:rsid w:val="006D634E"/>
    <w:rsid w:val="006D7A0D"/>
    <w:rsid w:val="006E03E3"/>
    <w:rsid w:val="006E0C27"/>
    <w:rsid w:val="006F2AFE"/>
    <w:rsid w:val="006F4250"/>
    <w:rsid w:val="007038A6"/>
    <w:rsid w:val="0070556D"/>
    <w:rsid w:val="00706C77"/>
    <w:rsid w:val="00707F1B"/>
    <w:rsid w:val="00710091"/>
    <w:rsid w:val="00715647"/>
    <w:rsid w:val="00715C5D"/>
    <w:rsid w:val="00736558"/>
    <w:rsid w:val="007427C8"/>
    <w:rsid w:val="00746A1F"/>
    <w:rsid w:val="00747E4E"/>
    <w:rsid w:val="00751A97"/>
    <w:rsid w:val="007576EA"/>
    <w:rsid w:val="0076468F"/>
    <w:rsid w:val="00774928"/>
    <w:rsid w:val="0078184C"/>
    <w:rsid w:val="0078671D"/>
    <w:rsid w:val="00794E0C"/>
    <w:rsid w:val="007A1280"/>
    <w:rsid w:val="007A4CF7"/>
    <w:rsid w:val="007A55DC"/>
    <w:rsid w:val="007B3CE1"/>
    <w:rsid w:val="007B59BC"/>
    <w:rsid w:val="007C14CF"/>
    <w:rsid w:val="007D05FC"/>
    <w:rsid w:val="007D658B"/>
    <w:rsid w:val="007D7CC1"/>
    <w:rsid w:val="007E6899"/>
    <w:rsid w:val="007E6D28"/>
    <w:rsid w:val="007F054A"/>
    <w:rsid w:val="008046B8"/>
    <w:rsid w:val="0080536A"/>
    <w:rsid w:val="00817F79"/>
    <w:rsid w:val="008249F1"/>
    <w:rsid w:val="008253C3"/>
    <w:rsid w:val="0083619F"/>
    <w:rsid w:val="00860B76"/>
    <w:rsid w:val="00860F0A"/>
    <w:rsid w:val="008663E8"/>
    <w:rsid w:val="00867D93"/>
    <w:rsid w:val="008755B8"/>
    <w:rsid w:val="00877F98"/>
    <w:rsid w:val="008900D3"/>
    <w:rsid w:val="00892883"/>
    <w:rsid w:val="008A410F"/>
    <w:rsid w:val="008A6F7E"/>
    <w:rsid w:val="008B735A"/>
    <w:rsid w:val="008C7E97"/>
    <w:rsid w:val="008E0F79"/>
    <w:rsid w:val="008E6449"/>
    <w:rsid w:val="008F35EB"/>
    <w:rsid w:val="00910650"/>
    <w:rsid w:val="00912CE2"/>
    <w:rsid w:val="009157A3"/>
    <w:rsid w:val="00916A27"/>
    <w:rsid w:val="009313DC"/>
    <w:rsid w:val="009316BF"/>
    <w:rsid w:val="009370A9"/>
    <w:rsid w:val="00937A60"/>
    <w:rsid w:val="0094305D"/>
    <w:rsid w:val="009466A8"/>
    <w:rsid w:val="00952526"/>
    <w:rsid w:val="0096028D"/>
    <w:rsid w:val="00960387"/>
    <w:rsid w:val="009660A3"/>
    <w:rsid w:val="00974590"/>
    <w:rsid w:val="0098187C"/>
    <w:rsid w:val="0099313C"/>
    <w:rsid w:val="009A364F"/>
    <w:rsid w:val="009A6506"/>
    <w:rsid w:val="009D006A"/>
    <w:rsid w:val="009D38BF"/>
    <w:rsid w:val="009D7964"/>
    <w:rsid w:val="009F2008"/>
    <w:rsid w:val="00A16F41"/>
    <w:rsid w:val="00A25B54"/>
    <w:rsid w:val="00A26921"/>
    <w:rsid w:val="00A26A81"/>
    <w:rsid w:val="00A30E74"/>
    <w:rsid w:val="00A31CCA"/>
    <w:rsid w:val="00A32DA3"/>
    <w:rsid w:val="00A33B31"/>
    <w:rsid w:val="00A4200F"/>
    <w:rsid w:val="00A43F4F"/>
    <w:rsid w:val="00A52133"/>
    <w:rsid w:val="00A52AEA"/>
    <w:rsid w:val="00A547CC"/>
    <w:rsid w:val="00A64FD0"/>
    <w:rsid w:val="00A65CEB"/>
    <w:rsid w:val="00A70C6D"/>
    <w:rsid w:val="00A77C95"/>
    <w:rsid w:val="00A805B8"/>
    <w:rsid w:val="00A87847"/>
    <w:rsid w:val="00A97E12"/>
    <w:rsid w:val="00AA181C"/>
    <w:rsid w:val="00AA44C7"/>
    <w:rsid w:val="00AA7BFE"/>
    <w:rsid w:val="00AB72CD"/>
    <w:rsid w:val="00AC0584"/>
    <w:rsid w:val="00AC5589"/>
    <w:rsid w:val="00AD42CC"/>
    <w:rsid w:val="00AD7E46"/>
    <w:rsid w:val="00AE247B"/>
    <w:rsid w:val="00AE2621"/>
    <w:rsid w:val="00AE3089"/>
    <w:rsid w:val="00AE45C1"/>
    <w:rsid w:val="00AE5DA1"/>
    <w:rsid w:val="00AF0D98"/>
    <w:rsid w:val="00AF7095"/>
    <w:rsid w:val="00AF76FC"/>
    <w:rsid w:val="00B0076C"/>
    <w:rsid w:val="00B13315"/>
    <w:rsid w:val="00B14E0D"/>
    <w:rsid w:val="00B20406"/>
    <w:rsid w:val="00B27B26"/>
    <w:rsid w:val="00B40B10"/>
    <w:rsid w:val="00B46771"/>
    <w:rsid w:val="00B5034A"/>
    <w:rsid w:val="00B529A2"/>
    <w:rsid w:val="00B555D5"/>
    <w:rsid w:val="00B57D89"/>
    <w:rsid w:val="00B6053F"/>
    <w:rsid w:val="00B61661"/>
    <w:rsid w:val="00B6698E"/>
    <w:rsid w:val="00B70B2C"/>
    <w:rsid w:val="00B75D2A"/>
    <w:rsid w:val="00B87CFE"/>
    <w:rsid w:val="00B91B2E"/>
    <w:rsid w:val="00B97551"/>
    <w:rsid w:val="00BB2517"/>
    <w:rsid w:val="00BD3397"/>
    <w:rsid w:val="00BD380B"/>
    <w:rsid w:val="00BD6F01"/>
    <w:rsid w:val="00BD7C57"/>
    <w:rsid w:val="00BE1250"/>
    <w:rsid w:val="00BE1B70"/>
    <w:rsid w:val="00BE3188"/>
    <w:rsid w:val="00BF5B12"/>
    <w:rsid w:val="00C04398"/>
    <w:rsid w:val="00C15086"/>
    <w:rsid w:val="00C20DD2"/>
    <w:rsid w:val="00C21323"/>
    <w:rsid w:val="00C242F0"/>
    <w:rsid w:val="00C24D0A"/>
    <w:rsid w:val="00C30431"/>
    <w:rsid w:val="00C33030"/>
    <w:rsid w:val="00C3372D"/>
    <w:rsid w:val="00C4191A"/>
    <w:rsid w:val="00C42173"/>
    <w:rsid w:val="00C42E7E"/>
    <w:rsid w:val="00C4680A"/>
    <w:rsid w:val="00C55EA7"/>
    <w:rsid w:val="00C57C41"/>
    <w:rsid w:val="00C6551E"/>
    <w:rsid w:val="00C65A3A"/>
    <w:rsid w:val="00C728EA"/>
    <w:rsid w:val="00C76CA1"/>
    <w:rsid w:val="00C9445D"/>
    <w:rsid w:val="00CB0678"/>
    <w:rsid w:val="00CC5ECC"/>
    <w:rsid w:val="00CC67C3"/>
    <w:rsid w:val="00CD2EBE"/>
    <w:rsid w:val="00CE4B3F"/>
    <w:rsid w:val="00CE6932"/>
    <w:rsid w:val="00CF6328"/>
    <w:rsid w:val="00CF7876"/>
    <w:rsid w:val="00D05E0F"/>
    <w:rsid w:val="00D14692"/>
    <w:rsid w:val="00D163D2"/>
    <w:rsid w:val="00D529DC"/>
    <w:rsid w:val="00D541CC"/>
    <w:rsid w:val="00D5507D"/>
    <w:rsid w:val="00D5553D"/>
    <w:rsid w:val="00D6228A"/>
    <w:rsid w:val="00D65584"/>
    <w:rsid w:val="00D65E96"/>
    <w:rsid w:val="00D74F27"/>
    <w:rsid w:val="00D9110E"/>
    <w:rsid w:val="00D94AD9"/>
    <w:rsid w:val="00D9642E"/>
    <w:rsid w:val="00DA2739"/>
    <w:rsid w:val="00DB133A"/>
    <w:rsid w:val="00DB5C59"/>
    <w:rsid w:val="00DC6045"/>
    <w:rsid w:val="00DD68B2"/>
    <w:rsid w:val="00DF5713"/>
    <w:rsid w:val="00DF611D"/>
    <w:rsid w:val="00DF76A3"/>
    <w:rsid w:val="00E1267F"/>
    <w:rsid w:val="00E15048"/>
    <w:rsid w:val="00E32780"/>
    <w:rsid w:val="00E35B41"/>
    <w:rsid w:val="00E41563"/>
    <w:rsid w:val="00E45D44"/>
    <w:rsid w:val="00E6671C"/>
    <w:rsid w:val="00E669F5"/>
    <w:rsid w:val="00E6751A"/>
    <w:rsid w:val="00E71C97"/>
    <w:rsid w:val="00E771BC"/>
    <w:rsid w:val="00E850A7"/>
    <w:rsid w:val="00E85547"/>
    <w:rsid w:val="00E93611"/>
    <w:rsid w:val="00E9689A"/>
    <w:rsid w:val="00E97BB7"/>
    <w:rsid w:val="00EA3B98"/>
    <w:rsid w:val="00EA630E"/>
    <w:rsid w:val="00EB3106"/>
    <w:rsid w:val="00EB5E42"/>
    <w:rsid w:val="00EC477A"/>
    <w:rsid w:val="00ED1C17"/>
    <w:rsid w:val="00ED2E20"/>
    <w:rsid w:val="00ED7FD8"/>
    <w:rsid w:val="00EE2AE1"/>
    <w:rsid w:val="00EE3108"/>
    <w:rsid w:val="00EF0818"/>
    <w:rsid w:val="00EF1415"/>
    <w:rsid w:val="00EF2A9D"/>
    <w:rsid w:val="00F02990"/>
    <w:rsid w:val="00F1325E"/>
    <w:rsid w:val="00F17FC7"/>
    <w:rsid w:val="00F210FE"/>
    <w:rsid w:val="00F26F69"/>
    <w:rsid w:val="00F2789F"/>
    <w:rsid w:val="00F32483"/>
    <w:rsid w:val="00F32F9B"/>
    <w:rsid w:val="00F33712"/>
    <w:rsid w:val="00F375A7"/>
    <w:rsid w:val="00F50459"/>
    <w:rsid w:val="00F534AB"/>
    <w:rsid w:val="00F54D76"/>
    <w:rsid w:val="00F5517D"/>
    <w:rsid w:val="00F605BE"/>
    <w:rsid w:val="00F6542D"/>
    <w:rsid w:val="00F722C6"/>
    <w:rsid w:val="00F74288"/>
    <w:rsid w:val="00F74EC2"/>
    <w:rsid w:val="00F754B6"/>
    <w:rsid w:val="00F76B46"/>
    <w:rsid w:val="00F83F12"/>
    <w:rsid w:val="00FA7370"/>
    <w:rsid w:val="00FB1538"/>
    <w:rsid w:val="00FB2E35"/>
    <w:rsid w:val="00FC0061"/>
    <w:rsid w:val="00FC19E8"/>
    <w:rsid w:val="00FC555D"/>
    <w:rsid w:val="00FC6464"/>
    <w:rsid w:val="00FD02FF"/>
    <w:rsid w:val="00FD0525"/>
    <w:rsid w:val="00FD4C76"/>
    <w:rsid w:val="00FD6A2E"/>
    <w:rsid w:val="00FF0588"/>
    <w:rsid w:val="00FF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1462F"/>
  <w15:docId w15:val="{56A7DB71-0266-47EF-AF11-25623EE2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paragraph" w:styleId="PlainText">
    <w:name w:val="Plain Text"/>
    <w:basedOn w:val="Normal"/>
    <w:link w:val="PlainTextChar"/>
    <w:uiPriority w:val="99"/>
    <w:unhideWhenUsed/>
    <w:rsid w:val="00EF1415"/>
    <w:pPr>
      <w:widowControl/>
    </w:pPr>
    <w:rPr>
      <w:rFonts w:ascii="Consolas" w:eastAsiaTheme="minorEastAsia" w:hAnsi="Consolas"/>
      <w:sz w:val="21"/>
      <w:szCs w:val="21"/>
      <w:lang w:val="en-GB" w:eastAsia="en-GB"/>
    </w:rPr>
  </w:style>
  <w:style w:type="character" w:customStyle="1" w:styleId="PlainTextChar">
    <w:name w:val="Plain Text Char"/>
    <w:basedOn w:val="DefaultParagraphFont"/>
    <w:link w:val="PlainText"/>
    <w:uiPriority w:val="99"/>
    <w:rsid w:val="00EF1415"/>
    <w:rPr>
      <w:rFonts w:ascii="Consolas" w:eastAsiaTheme="minorEastAsia" w:hAnsi="Consolas"/>
      <w:sz w:val="21"/>
      <w:szCs w:val="21"/>
      <w:lang w:val="en-GB" w:eastAsia="en-GB"/>
    </w:rPr>
  </w:style>
  <w:style w:type="paragraph" w:styleId="NoSpacing">
    <w:name w:val="No Spacing"/>
    <w:uiPriority w:val="1"/>
    <w:qFormat/>
    <w:rsid w:val="00EF1415"/>
    <w:pPr>
      <w:widowControl/>
    </w:pPr>
    <w:rPr>
      <w:rFonts w:ascii="Calibri" w:eastAsia="Times New Roman" w:hAnsi="Calibri" w:cs="Times New Roman"/>
      <w:lang w:val="en-GB" w:eastAsia="en-GB"/>
    </w:rPr>
  </w:style>
  <w:style w:type="character" w:styleId="Hyperlink">
    <w:name w:val="Hyperlink"/>
    <w:basedOn w:val="DefaultParagraphFont"/>
    <w:uiPriority w:val="99"/>
    <w:unhideWhenUsed/>
    <w:rsid w:val="008663E8"/>
    <w:rPr>
      <w:color w:val="0000FF" w:themeColor="hyperlink"/>
      <w:u w:val="single"/>
    </w:rPr>
  </w:style>
  <w:style w:type="character" w:styleId="UnresolvedMention">
    <w:name w:val="Unresolved Mention"/>
    <w:basedOn w:val="DefaultParagraphFont"/>
    <w:uiPriority w:val="99"/>
    <w:semiHidden/>
    <w:unhideWhenUsed/>
    <w:rsid w:val="00B9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924990">
      <w:bodyDiv w:val="1"/>
      <w:marLeft w:val="0"/>
      <w:marRight w:val="0"/>
      <w:marTop w:val="0"/>
      <w:marBottom w:val="0"/>
      <w:divBdr>
        <w:top w:val="none" w:sz="0" w:space="0" w:color="auto"/>
        <w:left w:val="none" w:sz="0" w:space="0" w:color="auto"/>
        <w:bottom w:val="none" w:sz="0" w:space="0" w:color="auto"/>
        <w:right w:val="none" w:sz="0" w:space="0" w:color="auto"/>
      </w:divBdr>
    </w:div>
    <w:div w:id="179629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appeal-benefit-decision/submit-appeal%20or%20use%20a%20SSCS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thcan.org.uk/benefits-advice/" TargetMode="External"/><Relationship Id="rId2" Type="http://schemas.openxmlformats.org/officeDocument/2006/relationships/numbering" Target="numbering.xml"/><Relationship Id="rId16" Type="http://schemas.openxmlformats.org/officeDocument/2006/relationships/hyperlink" Target="https://www.towerhamlets.gov.uk/lgnl/advice_and_benefits/Residents_Support_Scheme.asp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rn2us.or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appeal-benefit-decision/submit-appeal%20or%20use%20a%20SSCS1"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A749-F302-4DF5-B250-69AED77E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 Khanom</dc:creator>
  <cp:lastModifiedBy>Jo Ellis</cp:lastModifiedBy>
  <cp:revision>2</cp:revision>
  <dcterms:created xsi:type="dcterms:W3CDTF">2021-03-31T11:09:00Z</dcterms:created>
  <dcterms:modified xsi:type="dcterms:W3CDTF">2021-03-31T11:09:00Z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