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51"/>
        <w:tblW w:w="8981"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6513"/>
        <w:gridCol w:w="2468"/>
      </w:tblGrid>
      <w:tr w:rsidR="00421970" w:rsidRPr="00421970" w14:paraId="38F78422" w14:textId="77777777" w:rsidTr="009279E6">
        <w:trPr>
          <w:trHeight w:val="158"/>
        </w:trPr>
        <w:tc>
          <w:tcPr>
            <w:tcW w:w="6513" w:type="dxa"/>
            <w:tcBorders>
              <w:top w:val="single" w:sz="12" w:space="0" w:color="auto"/>
              <w:left w:val="single" w:sz="12" w:space="0" w:color="auto"/>
              <w:bottom w:val="nil"/>
              <w:right w:val="single" w:sz="12" w:space="0" w:color="auto"/>
            </w:tcBorders>
            <w:vAlign w:val="center"/>
          </w:tcPr>
          <w:p w14:paraId="3E8F7A67" w14:textId="77777777" w:rsidR="00421970" w:rsidRPr="00421970" w:rsidRDefault="00421970" w:rsidP="00421970">
            <w:pPr>
              <w:jc w:val="both"/>
              <w:rPr>
                <w:bCs/>
              </w:rPr>
            </w:pPr>
            <w:bookmarkStart w:id="0" w:name="_Toc69134501"/>
          </w:p>
        </w:tc>
        <w:tc>
          <w:tcPr>
            <w:tcW w:w="2468" w:type="dxa"/>
            <w:vMerge w:val="restart"/>
            <w:tcBorders>
              <w:top w:val="single" w:sz="12" w:space="0" w:color="auto"/>
              <w:left w:val="single" w:sz="12" w:space="0" w:color="auto"/>
              <w:right w:val="single" w:sz="12" w:space="0" w:color="auto"/>
            </w:tcBorders>
          </w:tcPr>
          <w:p w14:paraId="21579B8F" w14:textId="77777777" w:rsidR="00421970" w:rsidRPr="00421970" w:rsidRDefault="00421970" w:rsidP="00421970">
            <w:pPr>
              <w:jc w:val="both"/>
              <w:rPr>
                <w:b/>
              </w:rPr>
            </w:pPr>
            <w:r w:rsidRPr="00421970">
              <w:rPr>
                <w:noProof/>
              </w:rPr>
              <w:drawing>
                <wp:anchor distT="0" distB="0" distL="114300" distR="114300" simplePos="0" relativeHeight="251667456" behindDoc="0" locked="0" layoutInCell="1" allowOverlap="1" wp14:anchorId="6822082A" wp14:editId="7CA02A77">
                  <wp:simplePos x="0" y="0"/>
                  <wp:positionH relativeFrom="column">
                    <wp:posOffset>219075</wp:posOffset>
                  </wp:positionH>
                  <wp:positionV relativeFrom="paragraph">
                    <wp:posOffset>9525</wp:posOffset>
                  </wp:positionV>
                  <wp:extent cx="929005" cy="628650"/>
                  <wp:effectExtent l="0" t="0" r="4445" b="0"/>
                  <wp:wrapSquare wrapText="bothSides"/>
                  <wp:docPr id="5" name="Picture 3" descr="Description: TH_logo_4col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H_logo_4colproc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005"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21970" w:rsidRPr="00421970" w14:paraId="4923D275" w14:textId="77777777" w:rsidTr="009279E6">
        <w:trPr>
          <w:trHeight w:hRule="exact" w:val="329"/>
        </w:trPr>
        <w:tc>
          <w:tcPr>
            <w:tcW w:w="6513" w:type="dxa"/>
            <w:tcBorders>
              <w:top w:val="nil"/>
              <w:left w:val="single" w:sz="12" w:space="0" w:color="auto"/>
              <w:bottom w:val="single" w:sz="12" w:space="0" w:color="auto"/>
              <w:right w:val="single" w:sz="12" w:space="0" w:color="auto"/>
            </w:tcBorders>
            <w:vAlign w:val="center"/>
          </w:tcPr>
          <w:p w14:paraId="0A94D543" w14:textId="77777777" w:rsidR="00421970" w:rsidRPr="00421970" w:rsidRDefault="00421970" w:rsidP="00421970">
            <w:pPr>
              <w:jc w:val="center"/>
              <w:rPr>
                <w:b/>
                <w:bCs/>
              </w:rPr>
            </w:pPr>
            <w:r w:rsidRPr="00421970">
              <w:rPr>
                <w:b/>
                <w:bCs/>
              </w:rPr>
              <w:t>Briefing Note</w:t>
            </w:r>
          </w:p>
          <w:p w14:paraId="0AC614B4" w14:textId="77777777" w:rsidR="00421970" w:rsidRPr="00421970" w:rsidRDefault="00421970" w:rsidP="00421970">
            <w:pPr>
              <w:jc w:val="center"/>
              <w:rPr>
                <w:b/>
                <w:bCs/>
              </w:rPr>
            </w:pPr>
          </w:p>
          <w:p w14:paraId="6C14FB0E" w14:textId="77777777" w:rsidR="00421970" w:rsidRPr="00421970" w:rsidRDefault="00421970" w:rsidP="00421970">
            <w:pPr>
              <w:jc w:val="center"/>
              <w:rPr>
                <w:b/>
                <w:bCs/>
              </w:rPr>
            </w:pPr>
          </w:p>
        </w:tc>
        <w:tc>
          <w:tcPr>
            <w:tcW w:w="2468" w:type="dxa"/>
            <w:vMerge/>
            <w:tcBorders>
              <w:left w:val="single" w:sz="12" w:space="0" w:color="auto"/>
              <w:bottom w:val="single" w:sz="12" w:space="0" w:color="auto"/>
              <w:right w:val="single" w:sz="12" w:space="0" w:color="auto"/>
            </w:tcBorders>
          </w:tcPr>
          <w:p w14:paraId="7BF034BB" w14:textId="77777777" w:rsidR="00421970" w:rsidRPr="00421970" w:rsidRDefault="00421970" w:rsidP="00421970">
            <w:pPr>
              <w:jc w:val="both"/>
            </w:pPr>
          </w:p>
        </w:tc>
      </w:tr>
      <w:tr w:rsidR="00421970" w:rsidRPr="00421970" w14:paraId="4DB89040" w14:textId="77777777" w:rsidTr="009279E6">
        <w:trPr>
          <w:trHeight w:val="233"/>
        </w:trPr>
        <w:tc>
          <w:tcPr>
            <w:tcW w:w="6513" w:type="dxa"/>
            <w:tcBorders>
              <w:top w:val="single" w:sz="12" w:space="0" w:color="auto"/>
              <w:left w:val="single" w:sz="12" w:space="0" w:color="auto"/>
              <w:bottom w:val="single" w:sz="12" w:space="0" w:color="auto"/>
              <w:right w:val="single" w:sz="12" w:space="0" w:color="auto"/>
            </w:tcBorders>
            <w:vAlign w:val="center"/>
          </w:tcPr>
          <w:p w14:paraId="7E4DBB53" w14:textId="14D705E3" w:rsidR="00421970" w:rsidRPr="00421970" w:rsidRDefault="00421970" w:rsidP="00421970">
            <w:pPr>
              <w:jc w:val="both"/>
            </w:pPr>
            <w:r w:rsidRPr="00421970">
              <w:rPr>
                <w:b/>
              </w:rPr>
              <w:t>Date:</w:t>
            </w:r>
            <w:r w:rsidRPr="00421970">
              <w:t xml:space="preserve"> </w:t>
            </w:r>
            <w:r w:rsidR="00F82F43">
              <w:t>March 2022</w:t>
            </w:r>
          </w:p>
        </w:tc>
        <w:tc>
          <w:tcPr>
            <w:tcW w:w="2468" w:type="dxa"/>
            <w:tcBorders>
              <w:top w:val="single" w:sz="12" w:space="0" w:color="auto"/>
              <w:left w:val="single" w:sz="12" w:space="0" w:color="auto"/>
              <w:bottom w:val="single" w:sz="12" w:space="0" w:color="auto"/>
              <w:right w:val="single" w:sz="12" w:space="0" w:color="auto"/>
            </w:tcBorders>
          </w:tcPr>
          <w:p w14:paraId="071863C7" w14:textId="77777777" w:rsidR="00421970" w:rsidRPr="00421970" w:rsidRDefault="00421970" w:rsidP="00421970">
            <w:pPr>
              <w:jc w:val="both"/>
            </w:pPr>
          </w:p>
        </w:tc>
      </w:tr>
      <w:tr w:rsidR="00421970" w:rsidRPr="00421970" w14:paraId="7F4A801E" w14:textId="77777777" w:rsidTr="009279E6">
        <w:trPr>
          <w:trHeight w:val="272"/>
        </w:trPr>
        <w:tc>
          <w:tcPr>
            <w:tcW w:w="8981" w:type="dxa"/>
            <w:gridSpan w:val="2"/>
            <w:tcBorders>
              <w:top w:val="single" w:sz="12" w:space="0" w:color="auto"/>
              <w:left w:val="single" w:sz="12" w:space="0" w:color="auto"/>
              <w:bottom w:val="single" w:sz="12" w:space="0" w:color="auto"/>
              <w:right w:val="single" w:sz="12" w:space="0" w:color="auto"/>
            </w:tcBorders>
            <w:vAlign w:val="center"/>
          </w:tcPr>
          <w:p w14:paraId="3C82C19D" w14:textId="63995984" w:rsidR="00421970" w:rsidRPr="00421970" w:rsidRDefault="00421970" w:rsidP="00421970">
            <w:pPr>
              <w:rPr>
                <w:b/>
              </w:rPr>
            </w:pPr>
            <w:r w:rsidRPr="00421970">
              <w:rPr>
                <w:b/>
              </w:rPr>
              <w:t>Housing Update</w:t>
            </w:r>
            <w:r w:rsidR="00AA293E">
              <w:rPr>
                <w:b/>
              </w:rPr>
              <w:t xml:space="preserve"> for the Private Renters Forum</w:t>
            </w:r>
            <w:r w:rsidRPr="00421970">
              <w:rPr>
                <w:b/>
              </w:rPr>
              <w:t xml:space="preserve"> -  Strategy and Policy (Place)</w:t>
            </w:r>
          </w:p>
        </w:tc>
      </w:tr>
    </w:tbl>
    <w:p w14:paraId="0E8F91C6" w14:textId="77777777" w:rsidR="00101C94" w:rsidRDefault="00101C94" w:rsidP="00AA293E">
      <w:pPr>
        <w:jc w:val="both"/>
      </w:pPr>
    </w:p>
    <w:p w14:paraId="05437A22" w14:textId="67F6D395" w:rsidR="00421970" w:rsidRPr="00421970" w:rsidRDefault="00421970" w:rsidP="00AA293E">
      <w:pPr>
        <w:jc w:val="both"/>
      </w:pPr>
      <w:r w:rsidRPr="00421970">
        <w:t xml:space="preserve">This </w:t>
      </w:r>
      <w:r w:rsidR="00101C94">
        <w:t>b</w:t>
      </w:r>
      <w:r w:rsidRPr="00421970">
        <w:t xml:space="preserve">riefing note summarises recent updates and legislative changes announced by the </w:t>
      </w:r>
      <w:r w:rsidR="00774F62">
        <w:t xml:space="preserve">DLUHC </w:t>
      </w:r>
      <w:r w:rsidRPr="00421970">
        <w:t xml:space="preserve"> and the </w:t>
      </w:r>
      <w:r w:rsidR="00101C94">
        <w:t>g</w:t>
      </w:r>
      <w:r w:rsidRPr="00421970">
        <w:t xml:space="preserve">overnment since </w:t>
      </w:r>
      <w:r w:rsidR="00763A39">
        <w:t>21</w:t>
      </w:r>
      <w:r w:rsidR="00763A39" w:rsidRPr="00763A39">
        <w:rPr>
          <w:vertAlign w:val="superscript"/>
        </w:rPr>
        <w:t>st</w:t>
      </w:r>
      <w:r w:rsidR="00763A39">
        <w:t xml:space="preserve"> December 2021</w:t>
      </w:r>
      <w:r w:rsidR="00237AF7">
        <w:t xml:space="preserve"> </w:t>
      </w:r>
      <w:r w:rsidRPr="00421970">
        <w:t xml:space="preserve"> through </w:t>
      </w:r>
      <w:r w:rsidR="00763A39">
        <w:t>3</w:t>
      </w:r>
      <w:r w:rsidR="00763A39" w:rsidRPr="00763A39">
        <w:rPr>
          <w:vertAlign w:val="superscript"/>
        </w:rPr>
        <w:t>rd</w:t>
      </w:r>
      <w:r w:rsidR="00763A39">
        <w:t xml:space="preserve"> March 2022</w:t>
      </w:r>
      <w:r w:rsidR="00475FA2">
        <w:t>.</w:t>
      </w:r>
    </w:p>
    <w:sdt>
      <w:sdtPr>
        <w:rPr>
          <w:rFonts w:asciiTheme="minorHAnsi" w:eastAsiaTheme="minorHAnsi" w:hAnsiTheme="minorHAnsi" w:cstheme="minorBidi"/>
          <w:color w:val="auto"/>
          <w:sz w:val="22"/>
          <w:szCs w:val="22"/>
          <w:lang w:val="en-GB"/>
        </w:rPr>
        <w:id w:val="631210676"/>
        <w:docPartObj>
          <w:docPartGallery w:val="Table of Contents"/>
          <w:docPartUnique/>
        </w:docPartObj>
      </w:sdtPr>
      <w:sdtEndPr>
        <w:rPr>
          <w:b/>
          <w:bCs/>
          <w:noProof/>
        </w:rPr>
      </w:sdtEndPr>
      <w:sdtContent>
        <w:p w14:paraId="44E1A22C" w14:textId="0FCBA6ED" w:rsidR="00421970" w:rsidRPr="00972C75" w:rsidRDefault="00421970">
          <w:pPr>
            <w:pStyle w:val="TOCHeading"/>
            <w:rPr>
              <w:b/>
              <w:bCs/>
              <w:lang w:val="en-GB"/>
            </w:rPr>
          </w:pPr>
          <w:r w:rsidRPr="00AA293E">
            <w:rPr>
              <w:b/>
              <w:bCs/>
            </w:rPr>
            <w:t>Contents</w:t>
          </w:r>
        </w:p>
        <w:p w14:paraId="6DEEA4E6" w14:textId="7C4D454F" w:rsidR="001E146A" w:rsidRDefault="00421970" w:rsidP="009279E6">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97212349" w:history="1">
            <w:r w:rsidR="001E146A" w:rsidRPr="006D51A6">
              <w:rPr>
                <w:rStyle w:val="Hyperlink"/>
                <w:rFonts w:cstheme="minorHAnsi"/>
                <w:noProof/>
              </w:rPr>
              <w:t>1.</w:t>
            </w:r>
            <w:r w:rsidR="001E146A">
              <w:rPr>
                <w:rFonts w:eastAsiaTheme="minorEastAsia"/>
                <w:noProof/>
                <w:lang w:eastAsia="en-GB"/>
              </w:rPr>
              <w:tab/>
            </w:r>
            <w:r w:rsidR="001E146A" w:rsidRPr="006D51A6">
              <w:rPr>
                <w:rStyle w:val="Hyperlink"/>
                <w:b/>
                <w:bCs/>
                <w:noProof/>
              </w:rPr>
              <w:t>Ending ‘no fault’ section 21 evictions</w:t>
            </w:r>
            <w:r w:rsidR="001E146A">
              <w:rPr>
                <w:noProof/>
                <w:webHidden/>
              </w:rPr>
              <w:tab/>
            </w:r>
            <w:r w:rsidR="001E146A">
              <w:rPr>
                <w:noProof/>
                <w:webHidden/>
              </w:rPr>
              <w:fldChar w:fldCharType="begin"/>
            </w:r>
            <w:r w:rsidR="001E146A">
              <w:rPr>
                <w:noProof/>
                <w:webHidden/>
              </w:rPr>
              <w:instrText xml:space="preserve"> PAGEREF _Toc97212349 \h </w:instrText>
            </w:r>
            <w:r w:rsidR="001E146A">
              <w:rPr>
                <w:noProof/>
                <w:webHidden/>
              </w:rPr>
            </w:r>
            <w:r w:rsidR="001E146A">
              <w:rPr>
                <w:noProof/>
                <w:webHidden/>
              </w:rPr>
              <w:fldChar w:fldCharType="separate"/>
            </w:r>
            <w:r w:rsidR="00101C94">
              <w:rPr>
                <w:noProof/>
                <w:webHidden/>
              </w:rPr>
              <w:t>2</w:t>
            </w:r>
            <w:r w:rsidR="001E146A">
              <w:rPr>
                <w:noProof/>
                <w:webHidden/>
              </w:rPr>
              <w:fldChar w:fldCharType="end"/>
            </w:r>
          </w:hyperlink>
        </w:p>
        <w:p w14:paraId="77390B4E" w14:textId="3F53D719" w:rsidR="001E146A" w:rsidRDefault="009C36B0" w:rsidP="009279E6">
          <w:pPr>
            <w:pStyle w:val="TOC1"/>
            <w:tabs>
              <w:tab w:val="left" w:pos="440"/>
              <w:tab w:val="right" w:leader="dot" w:pos="9016"/>
            </w:tabs>
            <w:rPr>
              <w:rFonts w:eastAsiaTheme="minorEastAsia"/>
              <w:noProof/>
              <w:lang w:eastAsia="en-GB"/>
            </w:rPr>
          </w:pPr>
          <w:hyperlink w:anchor="_Toc97212350" w:history="1">
            <w:r w:rsidR="001E146A" w:rsidRPr="006D51A6">
              <w:rPr>
                <w:rStyle w:val="Hyperlink"/>
                <w:rFonts w:cstheme="minorHAnsi"/>
                <w:noProof/>
              </w:rPr>
              <w:t>2.</w:t>
            </w:r>
            <w:r w:rsidR="001E146A">
              <w:rPr>
                <w:rFonts w:eastAsiaTheme="minorEastAsia"/>
                <w:noProof/>
                <w:lang w:eastAsia="en-GB"/>
              </w:rPr>
              <w:tab/>
            </w:r>
            <w:r w:rsidR="001E146A" w:rsidRPr="006D51A6">
              <w:rPr>
                <w:rStyle w:val="Hyperlink"/>
                <w:b/>
                <w:bCs/>
                <w:noProof/>
              </w:rPr>
              <w:t>Cladding and fire risk in flats</w:t>
            </w:r>
            <w:r w:rsidR="001E146A">
              <w:rPr>
                <w:noProof/>
                <w:webHidden/>
              </w:rPr>
              <w:tab/>
            </w:r>
            <w:r w:rsidR="001E146A">
              <w:rPr>
                <w:noProof/>
                <w:webHidden/>
              </w:rPr>
              <w:fldChar w:fldCharType="begin"/>
            </w:r>
            <w:r w:rsidR="001E146A">
              <w:rPr>
                <w:noProof/>
                <w:webHidden/>
              </w:rPr>
              <w:instrText xml:space="preserve"> PAGEREF _Toc97212350 \h </w:instrText>
            </w:r>
            <w:r w:rsidR="001E146A">
              <w:rPr>
                <w:noProof/>
                <w:webHidden/>
              </w:rPr>
            </w:r>
            <w:r w:rsidR="001E146A">
              <w:rPr>
                <w:noProof/>
                <w:webHidden/>
              </w:rPr>
              <w:fldChar w:fldCharType="separate"/>
            </w:r>
            <w:r w:rsidR="00101C94">
              <w:rPr>
                <w:noProof/>
                <w:webHidden/>
              </w:rPr>
              <w:t>2</w:t>
            </w:r>
            <w:r w:rsidR="001E146A">
              <w:rPr>
                <w:noProof/>
                <w:webHidden/>
              </w:rPr>
              <w:fldChar w:fldCharType="end"/>
            </w:r>
          </w:hyperlink>
        </w:p>
        <w:p w14:paraId="6273A3FF" w14:textId="6DC95CBE" w:rsidR="001E146A" w:rsidRDefault="009C36B0" w:rsidP="009279E6">
          <w:pPr>
            <w:pStyle w:val="TOC1"/>
            <w:tabs>
              <w:tab w:val="left" w:pos="440"/>
              <w:tab w:val="right" w:leader="dot" w:pos="9016"/>
            </w:tabs>
            <w:rPr>
              <w:rFonts w:eastAsiaTheme="minorEastAsia"/>
              <w:noProof/>
              <w:lang w:eastAsia="en-GB"/>
            </w:rPr>
          </w:pPr>
          <w:hyperlink w:anchor="_Toc97212351" w:history="1">
            <w:r w:rsidR="001E146A" w:rsidRPr="006D51A6">
              <w:rPr>
                <w:rStyle w:val="Hyperlink"/>
                <w:rFonts w:cstheme="minorHAnsi"/>
                <w:noProof/>
              </w:rPr>
              <w:t>3.</w:t>
            </w:r>
            <w:r w:rsidR="001E146A">
              <w:rPr>
                <w:rFonts w:eastAsiaTheme="minorEastAsia"/>
                <w:noProof/>
                <w:lang w:eastAsia="en-GB"/>
              </w:rPr>
              <w:tab/>
            </w:r>
            <w:r w:rsidR="001E146A" w:rsidRPr="006D51A6">
              <w:rPr>
                <w:rStyle w:val="Hyperlink"/>
                <w:b/>
                <w:bCs/>
                <w:noProof/>
              </w:rPr>
              <w:t>Short-term lettings – England</w:t>
            </w:r>
            <w:r w:rsidR="001E146A">
              <w:rPr>
                <w:noProof/>
                <w:webHidden/>
              </w:rPr>
              <w:tab/>
            </w:r>
            <w:r w:rsidR="001E146A">
              <w:rPr>
                <w:noProof/>
                <w:webHidden/>
              </w:rPr>
              <w:fldChar w:fldCharType="begin"/>
            </w:r>
            <w:r w:rsidR="001E146A">
              <w:rPr>
                <w:noProof/>
                <w:webHidden/>
              </w:rPr>
              <w:instrText xml:space="preserve"> PAGEREF _Toc97212351 \h </w:instrText>
            </w:r>
            <w:r w:rsidR="001E146A">
              <w:rPr>
                <w:noProof/>
                <w:webHidden/>
              </w:rPr>
            </w:r>
            <w:r w:rsidR="001E146A">
              <w:rPr>
                <w:noProof/>
                <w:webHidden/>
              </w:rPr>
              <w:fldChar w:fldCharType="separate"/>
            </w:r>
            <w:r w:rsidR="00101C94">
              <w:rPr>
                <w:noProof/>
                <w:webHidden/>
              </w:rPr>
              <w:t>2</w:t>
            </w:r>
            <w:r w:rsidR="001E146A">
              <w:rPr>
                <w:noProof/>
                <w:webHidden/>
              </w:rPr>
              <w:fldChar w:fldCharType="end"/>
            </w:r>
          </w:hyperlink>
        </w:p>
        <w:p w14:paraId="096766CD" w14:textId="1CD4C547" w:rsidR="001E146A" w:rsidRDefault="009C36B0" w:rsidP="009279E6">
          <w:pPr>
            <w:pStyle w:val="TOC1"/>
            <w:tabs>
              <w:tab w:val="left" w:pos="440"/>
              <w:tab w:val="right" w:leader="dot" w:pos="9016"/>
            </w:tabs>
            <w:rPr>
              <w:rFonts w:eastAsiaTheme="minorEastAsia"/>
              <w:noProof/>
              <w:lang w:eastAsia="en-GB"/>
            </w:rPr>
          </w:pPr>
          <w:hyperlink w:anchor="_Toc97212352" w:history="1">
            <w:r w:rsidR="001E146A" w:rsidRPr="006D51A6">
              <w:rPr>
                <w:rStyle w:val="Hyperlink"/>
                <w:rFonts w:cstheme="minorHAnsi"/>
                <w:noProof/>
              </w:rPr>
              <w:t>4.</w:t>
            </w:r>
            <w:r w:rsidR="001E146A">
              <w:rPr>
                <w:rFonts w:eastAsiaTheme="minorEastAsia"/>
                <w:noProof/>
                <w:lang w:eastAsia="en-GB"/>
              </w:rPr>
              <w:tab/>
            </w:r>
            <w:r w:rsidR="001E146A" w:rsidRPr="006D51A6">
              <w:rPr>
                <w:rStyle w:val="Hyperlink"/>
                <w:b/>
                <w:bCs/>
                <w:noProof/>
              </w:rPr>
              <w:t>Understanding the possession action process: Updated guidance for</w:t>
            </w:r>
            <w:r w:rsidR="001E146A" w:rsidRPr="006D51A6">
              <w:rPr>
                <w:rStyle w:val="Hyperlink"/>
                <w:noProof/>
              </w:rPr>
              <w:t xml:space="preserve"> </w:t>
            </w:r>
            <w:r w:rsidR="001E146A" w:rsidRPr="006D51A6">
              <w:rPr>
                <w:rStyle w:val="Hyperlink"/>
                <w:b/>
                <w:bCs/>
                <w:noProof/>
              </w:rPr>
              <w:t>landlords and tenants</w:t>
            </w:r>
            <w:r w:rsidR="001E146A">
              <w:rPr>
                <w:noProof/>
                <w:webHidden/>
              </w:rPr>
              <w:tab/>
            </w:r>
            <w:r w:rsidR="001E146A">
              <w:rPr>
                <w:noProof/>
                <w:webHidden/>
              </w:rPr>
              <w:fldChar w:fldCharType="begin"/>
            </w:r>
            <w:r w:rsidR="001E146A">
              <w:rPr>
                <w:noProof/>
                <w:webHidden/>
              </w:rPr>
              <w:instrText xml:space="preserve"> PAGEREF _Toc97212352 \h </w:instrText>
            </w:r>
            <w:r w:rsidR="001E146A">
              <w:rPr>
                <w:noProof/>
                <w:webHidden/>
              </w:rPr>
            </w:r>
            <w:r w:rsidR="001E146A">
              <w:rPr>
                <w:noProof/>
                <w:webHidden/>
              </w:rPr>
              <w:fldChar w:fldCharType="separate"/>
            </w:r>
            <w:r w:rsidR="00101C94">
              <w:rPr>
                <w:noProof/>
                <w:webHidden/>
              </w:rPr>
              <w:t>3</w:t>
            </w:r>
            <w:r w:rsidR="001E146A">
              <w:rPr>
                <w:noProof/>
                <w:webHidden/>
              </w:rPr>
              <w:fldChar w:fldCharType="end"/>
            </w:r>
          </w:hyperlink>
        </w:p>
        <w:p w14:paraId="5EDF6EEF" w14:textId="1DBC0813" w:rsidR="001E146A" w:rsidRDefault="009C36B0" w:rsidP="009279E6">
          <w:pPr>
            <w:pStyle w:val="TOC1"/>
            <w:tabs>
              <w:tab w:val="left" w:pos="440"/>
              <w:tab w:val="right" w:leader="dot" w:pos="9016"/>
            </w:tabs>
            <w:rPr>
              <w:rFonts w:eastAsiaTheme="minorEastAsia"/>
              <w:noProof/>
              <w:lang w:eastAsia="en-GB"/>
            </w:rPr>
          </w:pPr>
          <w:hyperlink w:anchor="_Toc97212353" w:history="1">
            <w:r w:rsidR="001E146A" w:rsidRPr="006D51A6">
              <w:rPr>
                <w:rStyle w:val="Hyperlink"/>
                <w:rFonts w:cstheme="minorHAnsi"/>
                <w:noProof/>
              </w:rPr>
              <w:t>5.</w:t>
            </w:r>
            <w:r w:rsidR="001E146A">
              <w:rPr>
                <w:rFonts w:eastAsiaTheme="minorEastAsia"/>
                <w:noProof/>
                <w:lang w:eastAsia="en-GB"/>
              </w:rPr>
              <w:tab/>
            </w:r>
            <w:r w:rsidR="001E146A" w:rsidRPr="006D51A6">
              <w:rPr>
                <w:rStyle w:val="Hyperlink"/>
                <w:b/>
                <w:bCs/>
                <w:noProof/>
              </w:rPr>
              <w:t>New online service to track remediation of high-risk buildings</w:t>
            </w:r>
            <w:r w:rsidR="001E146A">
              <w:rPr>
                <w:noProof/>
                <w:webHidden/>
              </w:rPr>
              <w:tab/>
            </w:r>
            <w:r w:rsidR="001E146A">
              <w:rPr>
                <w:noProof/>
                <w:webHidden/>
              </w:rPr>
              <w:fldChar w:fldCharType="begin"/>
            </w:r>
            <w:r w:rsidR="001E146A">
              <w:rPr>
                <w:noProof/>
                <w:webHidden/>
              </w:rPr>
              <w:instrText xml:space="preserve"> PAGEREF _Toc97212353 \h </w:instrText>
            </w:r>
            <w:r w:rsidR="001E146A">
              <w:rPr>
                <w:noProof/>
                <w:webHidden/>
              </w:rPr>
            </w:r>
            <w:r w:rsidR="001E146A">
              <w:rPr>
                <w:noProof/>
                <w:webHidden/>
              </w:rPr>
              <w:fldChar w:fldCharType="separate"/>
            </w:r>
            <w:r w:rsidR="00101C94">
              <w:rPr>
                <w:noProof/>
                <w:webHidden/>
              </w:rPr>
              <w:t>3</w:t>
            </w:r>
            <w:r w:rsidR="001E146A">
              <w:rPr>
                <w:noProof/>
                <w:webHidden/>
              </w:rPr>
              <w:fldChar w:fldCharType="end"/>
            </w:r>
          </w:hyperlink>
        </w:p>
        <w:p w14:paraId="3CAFA3F6" w14:textId="659FAA88" w:rsidR="001E146A" w:rsidRDefault="009C36B0" w:rsidP="009279E6">
          <w:pPr>
            <w:pStyle w:val="TOC1"/>
            <w:tabs>
              <w:tab w:val="left" w:pos="440"/>
              <w:tab w:val="right" w:leader="dot" w:pos="9016"/>
            </w:tabs>
            <w:rPr>
              <w:rFonts w:eastAsiaTheme="minorEastAsia"/>
              <w:noProof/>
              <w:lang w:eastAsia="en-GB"/>
            </w:rPr>
          </w:pPr>
          <w:hyperlink w:anchor="_Toc97212354" w:history="1">
            <w:r w:rsidR="001E146A" w:rsidRPr="006D51A6">
              <w:rPr>
                <w:rStyle w:val="Hyperlink"/>
                <w:rFonts w:cstheme="minorHAnsi"/>
                <w:noProof/>
              </w:rPr>
              <w:t>6.</w:t>
            </w:r>
            <w:r w:rsidR="001E146A">
              <w:rPr>
                <w:rFonts w:eastAsiaTheme="minorEastAsia"/>
                <w:noProof/>
                <w:lang w:eastAsia="en-GB"/>
              </w:rPr>
              <w:tab/>
            </w:r>
            <w:r w:rsidR="001E146A" w:rsidRPr="006D51A6">
              <w:rPr>
                <w:rStyle w:val="Hyperlink"/>
                <w:b/>
                <w:bCs/>
                <w:noProof/>
              </w:rPr>
              <w:t>Combustible cladding manufacturers</w:t>
            </w:r>
            <w:r w:rsidR="001E146A">
              <w:rPr>
                <w:noProof/>
                <w:webHidden/>
              </w:rPr>
              <w:tab/>
            </w:r>
            <w:r w:rsidR="001E146A">
              <w:rPr>
                <w:noProof/>
                <w:webHidden/>
              </w:rPr>
              <w:fldChar w:fldCharType="begin"/>
            </w:r>
            <w:r w:rsidR="001E146A">
              <w:rPr>
                <w:noProof/>
                <w:webHidden/>
              </w:rPr>
              <w:instrText xml:space="preserve"> PAGEREF _Toc97212354 \h </w:instrText>
            </w:r>
            <w:r w:rsidR="001E146A">
              <w:rPr>
                <w:noProof/>
                <w:webHidden/>
              </w:rPr>
            </w:r>
            <w:r w:rsidR="001E146A">
              <w:rPr>
                <w:noProof/>
                <w:webHidden/>
              </w:rPr>
              <w:fldChar w:fldCharType="separate"/>
            </w:r>
            <w:r w:rsidR="00101C94">
              <w:rPr>
                <w:noProof/>
                <w:webHidden/>
              </w:rPr>
              <w:t>3</w:t>
            </w:r>
            <w:r w:rsidR="001E146A">
              <w:rPr>
                <w:noProof/>
                <w:webHidden/>
              </w:rPr>
              <w:fldChar w:fldCharType="end"/>
            </w:r>
          </w:hyperlink>
        </w:p>
        <w:p w14:paraId="3931E5BD" w14:textId="688F2B9D" w:rsidR="001E146A" w:rsidRDefault="009C36B0" w:rsidP="009279E6">
          <w:pPr>
            <w:pStyle w:val="TOC1"/>
            <w:tabs>
              <w:tab w:val="left" w:pos="440"/>
              <w:tab w:val="right" w:leader="dot" w:pos="9016"/>
            </w:tabs>
            <w:rPr>
              <w:rFonts w:eastAsiaTheme="minorEastAsia"/>
              <w:noProof/>
              <w:lang w:eastAsia="en-GB"/>
            </w:rPr>
          </w:pPr>
          <w:hyperlink w:anchor="_Toc97212355" w:history="1">
            <w:r w:rsidR="001E146A" w:rsidRPr="006D51A6">
              <w:rPr>
                <w:rStyle w:val="Hyperlink"/>
                <w:rFonts w:cstheme="minorHAnsi"/>
                <w:noProof/>
              </w:rPr>
              <w:t>7.</w:t>
            </w:r>
            <w:r w:rsidR="001E146A">
              <w:rPr>
                <w:rFonts w:eastAsiaTheme="minorEastAsia"/>
                <w:noProof/>
                <w:lang w:eastAsia="en-GB"/>
              </w:rPr>
              <w:tab/>
            </w:r>
            <w:r w:rsidR="001E146A" w:rsidRPr="006D51A6">
              <w:rPr>
                <w:rStyle w:val="Hyperlink"/>
                <w:b/>
                <w:bCs/>
                <w:noProof/>
              </w:rPr>
              <w:t>Right to rent checks</w:t>
            </w:r>
            <w:r w:rsidR="001E146A">
              <w:rPr>
                <w:noProof/>
                <w:webHidden/>
              </w:rPr>
              <w:tab/>
            </w:r>
            <w:r w:rsidR="001E146A">
              <w:rPr>
                <w:noProof/>
                <w:webHidden/>
              </w:rPr>
              <w:fldChar w:fldCharType="begin"/>
            </w:r>
            <w:r w:rsidR="001E146A">
              <w:rPr>
                <w:noProof/>
                <w:webHidden/>
              </w:rPr>
              <w:instrText xml:space="preserve"> PAGEREF _Toc97212355 \h </w:instrText>
            </w:r>
            <w:r w:rsidR="001E146A">
              <w:rPr>
                <w:noProof/>
                <w:webHidden/>
              </w:rPr>
            </w:r>
            <w:r w:rsidR="001E146A">
              <w:rPr>
                <w:noProof/>
                <w:webHidden/>
              </w:rPr>
              <w:fldChar w:fldCharType="separate"/>
            </w:r>
            <w:r w:rsidR="00101C94">
              <w:rPr>
                <w:noProof/>
                <w:webHidden/>
              </w:rPr>
              <w:t>3</w:t>
            </w:r>
            <w:r w:rsidR="001E146A">
              <w:rPr>
                <w:noProof/>
                <w:webHidden/>
              </w:rPr>
              <w:fldChar w:fldCharType="end"/>
            </w:r>
          </w:hyperlink>
        </w:p>
        <w:p w14:paraId="4A47678A" w14:textId="406AC7EA" w:rsidR="001E146A" w:rsidRDefault="009C36B0" w:rsidP="009279E6">
          <w:pPr>
            <w:pStyle w:val="TOC1"/>
            <w:tabs>
              <w:tab w:val="left" w:pos="440"/>
              <w:tab w:val="right" w:leader="dot" w:pos="9016"/>
            </w:tabs>
            <w:rPr>
              <w:rFonts w:eastAsiaTheme="minorEastAsia"/>
              <w:noProof/>
              <w:lang w:eastAsia="en-GB"/>
            </w:rPr>
          </w:pPr>
          <w:hyperlink w:anchor="_Toc97212356" w:history="1">
            <w:r w:rsidR="001E146A" w:rsidRPr="006D51A6">
              <w:rPr>
                <w:rStyle w:val="Hyperlink"/>
                <w:rFonts w:cstheme="minorHAnsi"/>
                <w:noProof/>
              </w:rPr>
              <w:t>8.</w:t>
            </w:r>
            <w:r w:rsidR="001E146A">
              <w:rPr>
                <w:rFonts w:eastAsiaTheme="minorEastAsia"/>
                <w:noProof/>
                <w:lang w:eastAsia="en-GB"/>
              </w:rPr>
              <w:tab/>
            </w:r>
            <w:r w:rsidR="001E146A" w:rsidRPr="006D51A6">
              <w:rPr>
                <w:rStyle w:val="Hyperlink"/>
                <w:b/>
                <w:bCs/>
                <w:noProof/>
              </w:rPr>
              <w:t>Private rental growth measures: January to December 2021</w:t>
            </w:r>
            <w:r w:rsidR="001E146A">
              <w:rPr>
                <w:noProof/>
                <w:webHidden/>
              </w:rPr>
              <w:tab/>
            </w:r>
            <w:r w:rsidR="001E146A">
              <w:rPr>
                <w:noProof/>
                <w:webHidden/>
              </w:rPr>
              <w:fldChar w:fldCharType="begin"/>
            </w:r>
            <w:r w:rsidR="001E146A">
              <w:rPr>
                <w:noProof/>
                <w:webHidden/>
              </w:rPr>
              <w:instrText xml:space="preserve"> PAGEREF _Toc97212356 \h </w:instrText>
            </w:r>
            <w:r w:rsidR="001E146A">
              <w:rPr>
                <w:noProof/>
                <w:webHidden/>
              </w:rPr>
            </w:r>
            <w:r w:rsidR="001E146A">
              <w:rPr>
                <w:noProof/>
                <w:webHidden/>
              </w:rPr>
              <w:fldChar w:fldCharType="separate"/>
            </w:r>
            <w:r w:rsidR="00101C94">
              <w:rPr>
                <w:noProof/>
                <w:webHidden/>
              </w:rPr>
              <w:t>3</w:t>
            </w:r>
            <w:r w:rsidR="001E146A">
              <w:rPr>
                <w:noProof/>
                <w:webHidden/>
              </w:rPr>
              <w:fldChar w:fldCharType="end"/>
            </w:r>
          </w:hyperlink>
        </w:p>
        <w:p w14:paraId="305BF7D8" w14:textId="79D63A37" w:rsidR="001E146A" w:rsidRDefault="009C36B0" w:rsidP="009279E6">
          <w:pPr>
            <w:pStyle w:val="TOC1"/>
            <w:tabs>
              <w:tab w:val="left" w:pos="440"/>
              <w:tab w:val="right" w:leader="dot" w:pos="9016"/>
            </w:tabs>
            <w:rPr>
              <w:rFonts w:eastAsiaTheme="minorEastAsia"/>
              <w:noProof/>
              <w:lang w:eastAsia="en-GB"/>
            </w:rPr>
          </w:pPr>
          <w:hyperlink w:anchor="_Toc97212357" w:history="1">
            <w:r w:rsidR="001E146A" w:rsidRPr="006D51A6">
              <w:rPr>
                <w:rStyle w:val="Hyperlink"/>
                <w:rFonts w:cstheme="minorHAnsi"/>
                <w:noProof/>
              </w:rPr>
              <w:t>9.</w:t>
            </w:r>
            <w:r w:rsidR="001E146A">
              <w:rPr>
                <w:rFonts w:eastAsiaTheme="minorEastAsia"/>
                <w:noProof/>
                <w:lang w:eastAsia="en-GB"/>
              </w:rPr>
              <w:tab/>
            </w:r>
            <w:r w:rsidR="001E146A" w:rsidRPr="006D51A6">
              <w:rPr>
                <w:rStyle w:val="Hyperlink"/>
                <w:b/>
                <w:bCs/>
                <w:noProof/>
              </w:rPr>
              <w:t>Regulation of private renting: National Audit Office report</w:t>
            </w:r>
            <w:r w:rsidR="001E146A">
              <w:rPr>
                <w:noProof/>
                <w:webHidden/>
              </w:rPr>
              <w:tab/>
            </w:r>
            <w:r w:rsidR="001E146A">
              <w:rPr>
                <w:noProof/>
                <w:webHidden/>
              </w:rPr>
              <w:fldChar w:fldCharType="begin"/>
            </w:r>
            <w:r w:rsidR="001E146A">
              <w:rPr>
                <w:noProof/>
                <w:webHidden/>
              </w:rPr>
              <w:instrText xml:space="preserve"> PAGEREF _Toc97212357 \h </w:instrText>
            </w:r>
            <w:r w:rsidR="001E146A">
              <w:rPr>
                <w:noProof/>
                <w:webHidden/>
              </w:rPr>
            </w:r>
            <w:r w:rsidR="001E146A">
              <w:rPr>
                <w:noProof/>
                <w:webHidden/>
              </w:rPr>
              <w:fldChar w:fldCharType="separate"/>
            </w:r>
            <w:r w:rsidR="00101C94">
              <w:rPr>
                <w:noProof/>
                <w:webHidden/>
              </w:rPr>
              <w:t>4</w:t>
            </w:r>
            <w:r w:rsidR="001E146A">
              <w:rPr>
                <w:noProof/>
                <w:webHidden/>
              </w:rPr>
              <w:fldChar w:fldCharType="end"/>
            </w:r>
          </w:hyperlink>
        </w:p>
        <w:p w14:paraId="533FE3B9" w14:textId="326C3C95" w:rsidR="001E146A" w:rsidRDefault="009C36B0" w:rsidP="009279E6">
          <w:pPr>
            <w:pStyle w:val="TOC1"/>
            <w:tabs>
              <w:tab w:val="left" w:pos="660"/>
              <w:tab w:val="right" w:leader="dot" w:pos="9016"/>
            </w:tabs>
            <w:rPr>
              <w:rFonts w:eastAsiaTheme="minorEastAsia"/>
              <w:noProof/>
              <w:lang w:eastAsia="en-GB"/>
            </w:rPr>
          </w:pPr>
          <w:hyperlink w:anchor="_Toc97212358" w:history="1">
            <w:r w:rsidR="001E146A" w:rsidRPr="006D51A6">
              <w:rPr>
                <w:rStyle w:val="Hyperlink"/>
                <w:rFonts w:cstheme="minorHAnsi"/>
                <w:noProof/>
              </w:rPr>
              <w:t>10.</w:t>
            </w:r>
            <w:r w:rsidR="009279E6">
              <w:rPr>
                <w:rFonts w:eastAsiaTheme="minorEastAsia"/>
                <w:noProof/>
                <w:lang w:eastAsia="en-GB"/>
              </w:rPr>
              <w:t xml:space="preserve">   </w:t>
            </w:r>
            <w:r w:rsidR="001E146A" w:rsidRPr="006D51A6">
              <w:rPr>
                <w:rStyle w:val="Hyperlink"/>
                <w:b/>
                <w:bCs/>
                <w:noProof/>
              </w:rPr>
              <w:t>Universal Credit and rent</w:t>
            </w:r>
            <w:r w:rsidR="001E146A">
              <w:rPr>
                <w:noProof/>
                <w:webHidden/>
              </w:rPr>
              <w:tab/>
            </w:r>
            <w:r w:rsidR="001E146A">
              <w:rPr>
                <w:noProof/>
                <w:webHidden/>
              </w:rPr>
              <w:fldChar w:fldCharType="begin"/>
            </w:r>
            <w:r w:rsidR="001E146A">
              <w:rPr>
                <w:noProof/>
                <w:webHidden/>
              </w:rPr>
              <w:instrText xml:space="preserve"> PAGEREF _Toc97212358 \h </w:instrText>
            </w:r>
            <w:r w:rsidR="001E146A">
              <w:rPr>
                <w:noProof/>
                <w:webHidden/>
              </w:rPr>
            </w:r>
            <w:r w:rsidR="001E146A">
              <w:rPr>
                <w:noProof/>
                <w:webHidden/>
              </w:rPr>
              <w:fldChar w:fldCharType="separate"/>
            </w:r>
            <w:r w:rsidR="00101C94">
              <w:rPr>
                <w:noProof/>
                <w:webHidden/>
              </w:rPr>
              <w:t>4</w:t>
            </w:r>
            <w:r w:rsidR="001E146A">
              <w:rPr>
                <w:noProof/>
                <w:webHidden/>
              </w:rPr>
              <w:fldChar w:fldCharType="end"/>
            </w:r>
          </w:hyperlink>
        </w:p>
        <w:p w14:paraId="55100A45" w14:textId="7067ADDC" w:rsidR="001E146A" w:rsidRDefault="009C36B0" w:rsidP="009279E6">
          <w:pPr>
            <w:pStyle w:val="TOC1"/>
            <w:tabs>
              <w:tab w:val="left" w:pos="660"/>
              <w:tab w:val="right" w:leader="dot" w:pos="9016"/>
            </w:tabs>
            <w:rPr>
              <w:rFonts w:eastAsiaTheme="minorEastAsia"/>
              <w:noProof/>
              <w:lang w:eastAsia="en-GB"/>
            </w:rPr>
          </w:pPr>
          <w:hyperlink w:anchor="_Toc97212359" w:history="1">
            <w:r w:rsidR="001E146A" w:rsidRPr="006D51A6">
              <w:rPr>
                <w:rStyle w:val="Hyperlink"/>
                <w:rFonts w:cstheme="minorHAnsi"/>
                <w:noProof/>
              </w:rPr>
              <w:t>11.</w:t>
            </w:r>
            <w:r w:rsidR="009279E6">
              <w:rPr>
                <w:rFonts w:eastAsiaTheme="minorEastAsia"/>
                <w:noProof/>
                <w:lang w:eastAsia="en-GB"/>
              </w:rPr>
              <w:t xml:space="preserve">   </w:t>
            </w:r>
            <w:r w:rsidR="001E146A" w:rsidRPr="006D51A6">
              <w:rPr>
                <w:rStyle w:val="Hyperlink"/>
                <w:b/>
                <w:bCs/>
                <w:noProof/>
              </w:rPr>
              <w:t>Buildings insurance for multiple-occupancy residential buildings</w:t>
            </w:r>
            <w:r w:rsidR="001E146A">
              <w:rPr>
                <w:noProof/>
                <w:webHidden/>
              </w:rPr>
              <w:tab/>
            </w:r>
            <w:r w:rsidR="001E146A">
              <w:rPr>
                <w:noProof/>
                <w:webHidden/>
              </w:rPr>
              <w:fldChar w:fldCharType="begin"/>
            </w:r>
            <w:r w:rsidR="001E146A">
              <w:rPr>
                <w:noProof/>
                <w:webHidden/>
              </w:rPr>
              <w:instrText xml:space="preserve"> PAGEREF _Toc97212359 \h </w:instrText>
            </w:r>
            <w:r w:rsidR="001E146A">
              <w:rPr>
                <w:noProof/>
                <w:webHidden/>
              </w:rPr>
            </w:r>
            <w:r w:rsidR="001E146A">
              <w:rPr>
                <w:noProof/>
                <w:webHidden/>
              </w:rPr>
              <w:fldChar w:fldCharType="separate"/>
            </w:r>
            <w:r w:rsidR="00101C94">
              <w:rPr>
                <w:noProof/>
                <w:webHidden/>
              </w:rPr>
              <w:t>4</w:t>
            </w:r>
            <w:r w:rsidR="001E146A">
              <w:rPr>
                <w:noProof/>
                <w:webHidden/>
              </w:rPr>
              <w:fldChar w:fldCharType="end"/>
            </w:r>
          </w:hyperlink>
        </w:p>
        <w:p w14:paraId="6366DFA4" w14:textId="2DA03FC5" w:rsidR="001E146A" w:rsidRDefault="009C36B0" w:rsidP="009279E6">
          <w:pPr>
            <w:pStyle w:val="TOC1"/>
            <w:tabs>
              <w:tab w:val="left" w:pos="660"/>
              <w:tab w:val="right" w:leader="dot" w:pos="9016"/>
            </w:tabs>
            <w:rPr>
              <w:rFonts w:eastAsiaTheme="minorEastAsia"/>
              <w:noProof/>
              <w:lang w:eastAsia="en-GB"/>
            </w:rPr>
          </w:pPr>
          <w:hyperlink w:anchor="_Toc97212360" w:history="1">
            <w:r w:rsidR="001E146A" w:rsidRPr="006D51A6">
              <w:rPr>
                <w:rStyle w:val="Hyperlink"/>
                <w:rFonts w:cstheme="minorHAnsi"/>
                <w:noProof/>
              </w:rPr>
              <w:t>12.</w:t>
            </w:r>
            <w:r w:rsidR="009279E6">
              <w:rPr>
                <w:rFonts w:eastAsiaTheme="minorEastAsia"/>
                <w:noProof/>
                <w:lang w:eastAsia="en-GB"/>
              </w:rPr>
              <w:t xml:space="preserve">   </w:t>
            </w:r>
            <w:r w:rsidR="001E146A" w:rsidRPr="006D51A6">
              <w:rPr>
                <w:rStyle w:val="Hyperlink"/>
                <w:b/>
                <w:bCs/>
                <w:noProof/>
              </w:rPr>
              <w:t>Waking Watch Replacement Fund opens for applications</w:t>
            </w:r>
            <w:r w:rsidR="001E146A">
              <w:rPr>
                <w:noProof/>
                <w:webHidden/>
              </w:rPr>
              <w:tab/>
            </w:r>
            <w:r w:rsidR="001E146A">
              <w:rPr>
                <w:noProof/>
                <w:webHidden/>
              </w:rPr>
              <w:fldChar w:fldCharType="begin"/>
            </w:r>
            <w:r w:rsidR="001E146A">
              <w:rPr>
                <w:noProof/>
                <w:webHidden/>
              </w:rPr>
              <w:instrText xml:space="preserve"> PAGEREF _Toc97212360 \h </w:instrText>
            </w:r>
            <w:r w:rsidR="001E146A">
              <w:rPr>
                <w:noProof/>
                <w:webHidden/>
              </w:rPr>
            </w:r>
            <w:r w:rsidR="001E146A">
              <w:rPr>
                <w:noProof/>
                <w:webHidden/>
              </w:rPr>
              <w:fldChar w:fldCharType="separate"/>
            </w:r>
            <w:r w:rsidR="00101C94">
              <w:rPr>
                <w:noProof/>
                <w:webHidden/>
              </w:rPr>
              <w:t>4</w:t>
            </w:r>
            <w:r w:rsidR="001E146A">
              <w:rPr>
                <w:noProof/>
                <w:webHidden/>
              </w:rPr>
              <w:fldChar w:fldCharType="end"/>
            </w:r>
          </w:hyperlink>
        </w:p>
        <w:p w14:paraId="7C9E89F7" w14:textId="62436BBE" w:rsidR="001E146A" w:rsidRDefault="009C36B0" w:rsidP="009279E6">
          <w:pPr>
            <w:pStyle w:val="TOC1"/>
            <w:tabs>
              <w:tab w:val="left" w:pos="660"/>
              <w:tab w:val="right" w:leader="dot" w:pos="9016"/>
            </w:tabs>
            <w:rPr>
              <w:rFonts w:eastAsiaTheme="minorEastAsia"/>
              <w:noProof/>
              <w:lang w:eastAsia="en-GB"/>
            </w:rPr>
          </w:pPr>
          <w:hyperlink w:anchor="_Toc97212361" w:history="1">
            <w:r w:rsidR="001E146A" w:rsidRPr="006D51A6">
              <w:rPr>
                <w:rStyle w:val="Hyperlink"/>
                <w:rFonts w:cstheme="minorHAnsi"/>
                <w:noProof/>
              </w:rPr>
              <w:t>13.</w:t>
            </w:r>
            <w:r w:rsidR="009279E6">
              <w:rPr>
                <w:rFonts w:eastAsiaTheme="minorEastAsia"/>
                <w:noProof/>
                <w:lang w:eastAsia="en-GB"/>
              </w:rPr>
              <w:t xml:space="preserve">   </w:t>
            </w:r>
            <w:r w:rsidR="001E146A" w:rsidRPr="006D51A6">
              <w:rPr>
                <w:rStyle w:val="Hyperlink"/>
                <w:b/>
                <w:bCs/>
                <w:noProof/>
              </w:rPr>
              <w:t>Estimates of dwellings and households by tenure 2020 – England</w:t>
            </w:r>
            <w:r w:rsidR="001E146A">
              <w:rPr>
                <w:noProof/>
                <w:webHidden/>
              </w:rPr>
              <w:tab/>
            </w:r>
            <w:r w:rsidR="001E146A">
              <w:rPr>
                <w:noProof/>
                <w:webHidden/>
              </w:rPr>
              <w:fldChar w:fldCharType="begin"/>
            </w:r>
            <w:r w:rsidR="001E146A">
              <w:rPr>
                <w:noProof/>
                <w:webHidden/>
              </w:rPr>
              <w:instrText xml:space="preserve"> PAGEREF _Toc97212361 \h </w:instrText>
            </w:r>
            <w:r w:rsidR="001E146A">
              <w:rPr>
                <w:noProof/>
                <w:webHidden/>
              </w:rPr>
            </w:r>
            <w:r w:rsidR="001E146A">
              <w:rPr>
                <w:noProof/>
                <w:webHidden/>
              </w:rPr>
              <w:fldChar w:fldCharType="separate"/>
            </w:r>
            <w:r w:rsidR="00101C94">
              <w:rPr>
                <w:noProof/>
                <w:webHidden/>
              </w:rPr>
              <w:t>4</w:t>
            </w:r>
            <w:r w:rsidR="001E146A">
              <w:rPr>
                <w:noProof/>
                <w:webHidden/>
              </w:rPr>
              <w:fldChar w:fldCharType="end"/>
            </w:r>
          </w:hyperlink>
        </w:p>
        <w:p w14:paraId="691FBE71" w14:textId="5DF73532" w:rsidR="001E146A" w:rsidRDefault="009C36B0" w:rsidP="009279E6">
          <w:pPr>
            <w:pStyle w:val="TOC1"/>
            <w:tabs>
              <w:tab w:val="left" w:pos="660"/>
              <w:tab w:val="right" w:leader="dot" w:pos="9016"/>
            </w:tabs>
            <w:rPr>
              <w:rFonts w:eastAsiaTheme="minorEastAsia"/>
              <w:noProof/>
              <w:lang w:eastAsia="en-GB"/>
            </w:rPr>
          </w:pPr>
          <w:hyperlink w:anchor="_Toc97212362" w:history="1">
            <w:r w:rsidR="001E146A" w:rsidRPr="006D51A6">
              <w:rPr>
                <w:rStyle w:val="Hyperlink"/>
                <w:rFonts w:cstheme="minorHAnsi"/>
                <w:noProof/>
              </w:rPr>
              <w:t>14.</w:t>
            </w:r>
            <w:r w:rsidR="009279E6">
              <w:rPr>
                <w:rFonts w:eastAsiaTheme="minorEastAsia"/>
                <w:noProof/>
                <w:lang w:eastAsia="en-GB"/>
              </w:rPr>
              <w:t xml:space="preserve">   </w:t>
            </w:r>
            <w:r w:rsidR="001E146A" w:rsidRPr="006D51A6">
              <w:rPr>
                <w:rStyle w:val="Hyperlink"/>
                <w:b/>
                <w:bCs/>
                <w:noProof/>
              </w:rPr>
              <w:t>Levelling up white paper published</w:t>
            </w:r>
            <w:r w:rsidR="001E146A">
              <w:rPr>
                <w:noProof/>
                <w:webHidden/>
              </w:rPr>
              <w:tab/>
            </w:r>
            <w:r w:rsidR="001E146A">
              <w:rPr>
                <w:noProof/>
                <w:webHidden/>
              </w:rPr>
              <w:fldChar w:fldCharType="begin"/>
            </w:r>
            <w:r w:rsidR="001E146A">
              <w:rPr>
                <w:noProof/>
                <w:webHidden/>
              </w:rPr>
              <w:instrText xml:space="preserve"> PAGEREF _Toc97212362 \h </w:instrText>
            </w:r>
            <w:r w:rsidR="001E146A">
              <w:rPr>
                <w:noProof/>
                <w:webHidden/>
              </w:rPr>
            </w:r>
            <w:r w:rsidR="001E146A">
              <w:rPr>
                <w:noProof/>
                <w:webHidden/>
              </w:rPr>
              <w:fldChar w:fldCharType="separate"/>
            </w:r>
            <w:r w:rsidR="00101C94">
              <w:rPr>
                <w:noProof/>
                <w:webHidden/>
              </w:rPr>
              <w:t>5</w:t>
            </w:r>
            <w:r w:rsidR="001E146A">
              <w:rPr>
                <w:noProof/>
                <w:webHidden/>
              </w:rPr>
              <w:fldChar w:fldCharType="end"/>
            </w:r>
          </w:hyperlink>
        </w:p>
        <w:p w14:paraId="01D9DCAE" w14:textId="4DD9A915" w:rsidR="001E146A" w:rsidRDefault="009C36B0" w:rsidP="009279E6">
          <w:pPr>
            <w:pStyle w:val="TOC1"/>
            <w:tabs>
              <w:tab w:val="left" w:pos="660"/>
              <w:tab w:val="right" w:leader="dot" w:pos="9016"/>
            </w:tabs>
            <w:rPr>
              <w:rFonts w:eastAsiaTheme="minorEastAsia"/>
              <w:noProof/>
              <w:lang w:eastAsia="en-GB"/>
            </w:rPr>
          </w:pPr>
          <w:hyperlink w:anchor="_Toc97212363" w:history="1">
            <w:r w:rsidR="001E146A" w:rsidRPr="006D51A6">
              <w:rPr>
                <w:rStyle w:val="Hyperlink"/>
                <w:rFonts w:cstheme="minorHAnsi"/>
                <w:noProof/>
              </w:rPr>
              <w:t>15.</w:t>
            </w:r>
            <w:r w:rsidR="009279E6">
              <w:rPr>
                <w:rFonts w:eastAsiaTheme="minorEastAsia"/>
                <w:noProof/>
                <w:lang w:eastAsia="en-GB"/>
              </w:rPr>
              <w:t xml:space="preserve">   </w:t>
            </w:r>
            <w:r w:rsidR="001E146A" w:rsidRPr="006D51A6">
              <w:rPr>
                <w:rStyle w:val="Hyperlink"/>
                <w:b/>
                <w:bCs/>
                <w:noProof/>
              </w:rPr>
              <w:t>Landlord possession statistics – England and Wales</w:t>
            </w:r>
            <w:r w:rsidR="001E146A">
              <w:rPr>
                <w:noProof/>
                <w:webHidden/>
              </w:rPr>
              <w:tab/>
            </w:r>
            <w:r w:rsidR="001E146A">
              <w:rPr>
                <w:noProof/>
                <w:webHidden/>
              </w:rPr>
              <w:fldChar w:fldCharType="begin"/>
            </w:r>
            <w:r w:rsidR="001E146A">
              <w:rPr>
                <w:noProof/>
                <w:webHidden/>
              </w:rPr>
              <w:instrText xml:space="preserve"> PAGEREF _Toc97212363 \h </w:instrText>
            </w:r>
            <w:r w:rsidR="001E146A">
              <w:rPr>
                <w:noProof/>
                <w:webHidden/>
              </w:rPr>
            </w:r>
            <w:r w:rsidR="001E146A">
              <w:rPr>
                <w:noProof/>
                <w:webHidden/>
              </w:rPr>
              <w:fldChar w:fldCharType="separate"/>
            </w:r>
            <w:r w:rsidR="00101C94">
              <w:rPr>
                <w:noProof/>
                <w:webHidden/>
              </w:rPr>
              <w:t>5</w:t>
            </w:r>
            <w:r w:rsidR="001E146A">
              <w:rPr>
                <w:noProof/>
                <w:webHidden/>
              </w:rPr>
              <w:fldChar w:fldCharType="end"/>
            </w:r>
          </w:hyperlink>
        </w:p>
        <w:p w14:paraId="1DF3BAB5" w14:textId="392B18FD" w:rsidR="001E146A" w:rsidRDefault="009C36B0" w:rsidP="009279E6">
          <w:pPr>
            <w:pStyle w:val="TOC1"/>
            <w:tabs>
              <w:tab w:val="left" w:pos="660"/>
              <w:tab w:val="right" w:leader="dot" w:pos="9016"/>
            </w:tabs>
            <w:rPr>
              <w:rFonts w:eastAsiaTheme="minorEastAsia"/>
              <w:noProof/>
              <w:lang w:eastAsia="en-GB"/>
            </w:rPr>
          </w:pPr>
          <w:hyperlink w:anchor="_Toc97212364" w:history="1">
            <w:r w:rsidR="001E146A" w:rsidRPr="006D51A6">
              <w:rPr>
                <w:rStyle w:val="Hyperlink"/>
                <w:rFonts w:cstheme="minorHAnsi"/>
                <w:noProof/>
              </w:rPr>
              <w:t>16.</w:t>
            </w:r>
            <w:r w:rsidR="009279E6">
              <w:rPr>
                <w:rFonts w:eastAsiaTheme="minorEastAsia"/>
                <w:noProof/>
                <w:lang w:eastAsia="en-GB"/>
              </w:rPr>
              <w:t xml:space="preserve">  </w:t>
            </w:r>
            <w:r w:rsidR="001E146A" w:rsidRPr="006D51A6">
              <w:rPr>
                <w:rStyle w:val="Hyperlink"/>
                <w:b/>
                <w:bCs/>
                <w:noProof/>
              </w:rPr>
              <w:t>Homelessness: councils warn of ‘tidal wave</w:t>
            </w:r>
            <w:r w:rsidR="001E146A">
              <w:rPr>
                <w:noProof/>
                <w:webHidden/>
              </w:rPr>
              <w:tab/>
            </w:r>
            <w:r w:rsidR="001E146A">
              <w:rPr>
                <w:noProof/>
                <w:webHidden/>
              </w:rPr>
              <w:fldChar w:fldCharType="begin"/>
            </w:r>
            <w:r w:rsidR="001E146A">
              <w:rPr>
                <w:noProof/>
                <w:webHidden/>
              </w:rPr>
              <w:instrText xml:space="preserve"> PAGEREF _Toc97212364 \h </w:instrText>
            </w:r>
            <w:r w:rsidR="001E146A">
              <w:rPr>
                <w:noProof/>
                <w:webHidden/>
              </w:rPr>
            </w:r>
            <w:r w:rsidR="001E146A">
              <w:rPr>
                <w:noProof/>
                <w:webHidden/>
              </w:rPr>
              <w:fldChar w:fldCharType="separate"/>
            </w:r>
            <w:r w:rsidR="00101C94">
              <w:rPr>
                <w:noProof/>
                <w:webHidden/>
              </w:rPr>
              <w:t>6</w:t>
            </w:r>
            <w:r w:rsidR="001E146A">
              <w:rPr>
                <w:noProof/>
                <w:webHidden/>
              </w:rPr>
              <w:fldChar w:fldCharType="end"/>
            </w:r>
          </w:hyperlink>
        </w:p>
        <w:p w14:paraId="2A4E6DC7" w14:textId="21C0FEEC" w:rsidR="001E146A" w:rsidRDefault="009C36B0" w:rsidP="009279E6">
          <w:pPr>
            <w:pStyle w:val="TOC1"/>
            <w:tabs>
              <w:tab w:val="left" w:pos="660"/>
              <w:tab w:val="right" w:leader="dot" w:pos="9016"/>
            </w:tabs>
            <w:rPr>
              <w:rFonts w:eastAsiaTheme="minorEastAsia"/>
              <w:noProof/>
              <w:lang w:eastAsia="en-GB"/>
            </w:rPr>
          </w:pPr>
          <w:hyperlink w:anchor="_Toc97212365" w:history="1">
            <w:r w:rsidR="001E146A" w:rsidRPr="006D51A6">
              <w:rPr>
                <w:rStyle w:val="Hyperlink"/>
                <w:rFonts w:cstheme="minorHAnsi"/>
                <w:noProof/>
              </w:rPr>
              <w:t>17.</w:t>
            </w:r>
            <w:r w:rsidR="009279E6">
              <w:rPr>
                <w:rFonts w:eastAsiaTheme="minorEastAsia"/>
                <w:noProof/>
                <w:lang w:eastAsia="en-GB"/>
              </w:rPr>
              <w:t xml:space="preserve">  </w:t>
            </w:r>
            <w:r w:rsidR="001E146A" w:rsidRPr="006D51A6">
              <w:rPr>
                <w:rStyle w:val="Hyperlink"/>
                <w:b/>
                <w:bCs/>
                <w:noProof/>
              </w:rPr>
              <w:t>Rough sleeping snapshot in England: autumn 2021</w:t>
            </w:r>
            <w:r w:rsidR="001E146A">
              <w:rPr>
                <w:noProof/>
                <w:webHidden/>
              </w:rPr>
              <w:tab/>
            </w:r>
            <w:r w:rsidR="001E146A">
              <w:rPr>
                <w:noProof/>
                <w:webHidden/>
              </w:rPr>
              <w:fldChar w:fldCharType="begin"/>
            </w:r>
            <w:r w:rsidR="001E146A">
              <w:rPr>
                <w:noProof/>
                <w:webHidden/>
              </w:rPr>
              <w:instrText xml:space="preserve"> PAGEREF _Toc97212365 \h </w:instrText>
            </w:r>
            <w:r w:rsidR="001E146A">
              <w:rPr>
                <w:noProof/>
                <w:webHidden/>
              </w:rPr>
            </w:r>
            <w:r w:rsidR="001E146A">
              <w:rPr>
                <w:noProof/>
                <w:webHidden/>
              </w:rPr>
              <w:fldChar w:fldCharType="separate"/>
            </w:r>
            <w:r w:rsidR="00101C94">
              <w:rPr>
                <w:noProof/>
                <w:webHidden/>
              </w:rPr>
              <w:t>6</w:t>
            </w:r>
            <w:r w:rsidR="001E146A">
              <w:rPr>
                <w:noProof/>
                <w:webHidden/>
              </w:rPr>
              <w:fldChar w:fldCharType="end"/>
            </w:r>
          </w:hyperlink>
        </w:p>
        <w:p w14:paraId="1DD6225E" w14:textId="2079D21D" w:rsidR="001E146A" w:rsidRDefault="009C36B0" w:rsidP="009279E6">
          <w:pPr>
            <w:pStyle w:val="TOC1"/>
            <w:tabs>
              <w:tab w:val="left" w:pos="660"/>
              <w:tab w:val="right" w:leader="dot" w:pos="9016"/>
            </w:tabs>
            <w:rPr>
              <w:rFonts w:eastAsiaTheme="minorEastAsia"/>
              <w:noProof/>
              <w:lang w:eastAsia="en-GB"/>
            </w:rPr>
          </w:pPr>
          <w:hyperlink w:anchor="_Toc97212366" w:history="1">
            <w:r w:rsidR="001E146A" w:rsidRPr="006D51A6">
              <w:rPr>
                <w:rStyle w:val="Hyperlink"/>
                <w:rFonts w:cstheme="minorHAnsi"/>
                <w:noProof/>
              </w:rPr>
              <w:t>18.</w:t>
            </w:r>
            <w:r w:rsidR="009279E6">
              <w:rPr>
                <w:rFonts w:eastAsiaTheme="minorEastAsia"/>
                <w:noProof/>
                <w:lang w:eastAsia="en-GB"/>
              </w:rPr>
              <w:t xml:space="preserve">  </w:t>
            </w:r>
            <w:r w:rsidR="001E146A" w:rsidRPr="006D51A6">
              <w:rPr>
                <w:rStyle w:val="Hyperlink"/>
                <w:b/>
                <w:bCs/>
                <w:noProof/>
              </w:rPr>
              <w:t>Social Housing Reform in England: What Next?</w:t>
            </w:r>
            <w:r w:rsidR="001E146A">
              <w:rPr>
                <w:noProof/>
                <w:webHidden/>
              </w:rPr>
              <w:tab/>
            </w:r>
            <w:r w:rsidR="001E146A">
              <w:rPr>
                <w:noProof/>
                <w:webHidden/>
              </w:rPr>
              <w:fldChar w:fldCharType="begin"/>
            </w:r>
            <w:r w:rsidR="001E146A">
              <w:rPr>
                <w:noProof/>
                <w:webHidden/>
              </w:rPr>
              <w:instrText xml:space="preserve"> PAGEREF _Toc97212366 \h </w:instrText>
            </w:r>
            <w:r w:rsidR="001E146A">
              <w:rPr>
                <w:noProof/>
                <w:webHidden/>
              </w:rPr>
            </w:r>
            <w:r w:rsidR="001E146A">
              <w:rPr>
                <w:noProof/>
                <w:webHidden/>
              </w:rPr>
              <w:fldChar w:fldCharType="separate"/>
            </w:r>
            <w:r w:rsidR="00101C94">
              <w:rPr>
                <w:noProof/>
                <w:webHidden/>
              </w:rPr>
              <w:t>7</w:t>
            </w:r>
            <w:r w:rsidR="001E146A">
              <w:rPr>
                <w:noProof/>
                <w:webHidden/>
              </w:rPr>
              <w:fldChar w:fldCharType="end"/>
            </w:r>
          </w:hyperlink>
        </w:p>
        <w:p w14:paraId="3AF13708" w14:textId="177CAE55" w:rsidR="001E146A" w:rsidRDefault="009C36B0" w:rsidP="009279E6">
          <w:pPr>
            <w:pStyle w:val="TOC1"/>
            <w:tabs>
              <w:tab w:val="left" w:pos="660"/>
              <w:tab w:val="right" w:leader="dot" w:pos="9016"/>
            </w:tabs>
            <w:rPr>
              <w:rFonts w:eastAsiaTheme="minorEastAsia"/>
              <w:noProof/>
              <w:lang w:eastAsia="en-GB"/>
            </w:rPr>
          </w:pPr>
          <w:hyperlink w:anchor="_Toc97212367" w:history="1">
            <w:r w:rsidR="001E146A" w:rsidRPr="006D51A6">
              <w:rPr>
                <w:rStyle w:val="Hyperlink"/>
                <w:rFonts w:cstheme="minorHAnsi"/>
                <w:noProof/>
              </w:rPr>
              <w:t>19.</w:t>
            </w:r>
            <w:r w:rsidR="009279E6">
              <w:rPr>
                <w:rFonts w:eastAsiaTheme="minorEastAsia"/>
                <w:noProof/>
                <w:lang w:eastAsia="en-GB"/>
              </w:rPr>
              <w:t xml:space="preserve">  </w:t>
            </w:r>
            <w:r w:rsidR="001E146A" w:rsidRPr="006D51A6">
              <w:rPr>
                <w:rStyle w:val="Hyperlink"/>
                <w:b/>
                <w:bCs/>
                <w:noProof/>
              </w:rPr>
              <w:t>Repeal of the Vagrancy Act 1824</w:t>
            </w:r>
            <w:r w:rsidR="001E146A">
              <w:rPr>
                <w:noProof/>
                <w:webHidden/>
              </w:rPr>
              <w:tab/>
            </w:r>
            <w:r w:rsidR="001E146A">
              <w:rPr>
                <w:noProof/>
                <w:webHidden/>
              </w:rPr>
              <w:fldChar w:fldCharType="begin"/>
            </w:r>
            <w:r w:rsidR="001E146A">
              <w:rPr>
                <w:noProof/>
                <w:webHidden/>
              </w:rPr>
              <w:instrText xml:space="preserve"> PAGEREF _Toc97212367 \h </w:instrText>
            </w:r>
            <w:r w:rsidR="001E146A">
              <w:rPr>
                <w:noProof/>
                <w:webHidden/>
              </w:rPr>
            </w:r>
            <w:r w:rsidR="001E146A">
              <w:rPr>
                <w:noProof/>
                <w:webHidden/>
              </w:rPr>
              <w:fldChar w:fldCharType="separate"/>
            </w:r>
            <w:r w:rsidR="00101C94">
              <w:rPr>
                <w:noProof/>
                <w:webHidden/>
              </w:rPr>
              <w:t>7</w:t>
            </w:r>
            <w:r w:rsidR="001E146A">
              <w:rPr>
                <w:noProof/>
                <w:webHidden/>
              </w:rPr>
              <w:fldChar w:fldCharType="end"/>
            </w:r>
          </w:hyperlink>
        </w:p>
        <w:p w14:paraId="52D9014D" w14:textId="4DB511C0" w:rsidR="001E146A" w:rsidRDefault="009C36B0" w:rsidP="009279E6">
          <w:pPr>
            <w:pStyle w:val="TOC1"/>
            <w:tabs>
              <w:tab w:val="left" w:pos="660"/>
              <w:tab w:val="right" w:leader="dot" w:pos="9016"/>
            </w:tabs>
            <w:rPr>
              <w:rFonts w:eastAsiaTheme="minorEastAsia"/>
              <w:noProof/>
              <w:lang w:eastAsia="en-GB"/>
            </w:rPr>
          </w:pPr>
          <w:hyperlink w:anchor="_Toc97212368" w:history="1">
            <w:r w:rsidR="001E146A" w:rsidRPr="006D51A6">
              <w:rPr>
                <w:rStyle w:val="Hyperlink"/>
                <w:rFonts w:cstheme="minorHAnsi"/>
                <w:noProof/>
              </w:rPr>
              <w:t>20.</w:t>
            </w:r>
            <w:r w:rsidR="00546B99">
              <w:rPr>
                <w:rStyle w:val="Hyperlink"/>
                <w:b/>
                <w:bCs/>
                <w:noProof/>
              </w:rPr>
              <w:t xml:space="preserve">  </w:t>
            </w:r>
            <w:r w:rsidR="001E146A" w:rsidRPr="006D51A6">
              <w:rPr>
                <w:rStyle w:val="Hyperlink"/>
                <w:b/>
                <w:bCs/>
                <w:noProof/>
              </w:rPr>
              <w:t>New legislation/Bills.</w:t>
            </w:r>
            <w:r w:rsidR="001E146A">
              <w:rPr>
                <w:noProof/>
                <w:webHidden/>
              </w:rPr>
              <w:tab/>
            </w:r>
            <w:r w:rsidR="001E146A">
              <w:rPr>
                <w:noProof/>
                <w:webHidden/>
              </w:rPr>
              <w:fldChar w:fldCharType="begin"/>
            </w:r>
            <w:r w:rsidR="001E146A">
              <w:rPr>
                <w:noProof/>
                <w:webHidden/>
              </w:rPr>
              <w:instrText xml:space="preserve"> PAGEREF _Toc97212368 \h </w:instrText>
            </w:r>
            <w:r w:rsidR="001E146A">
              <w:rPr>
                <w:noProof/>
                <w:webHidden/>
              </w:rPr>
            </w:r>
            <w:r w:rsidR="001E146A">
              <w:rPr>
                <w:noProof/>
                <w:webHidden/>
              </w:rPr>
              <w:fldChar w:fldCharType="separate"/>
            </w:r>
            <w:r w:rsidR="00101C94">
              <w:rPr>
                <w:noProof/>
                <w:webHidden/>
              </w:rPr>
              <w:t>7</w:t>
            </w:r>
            <w:r w:rsidR="001E146A">
              <w:rPr>
                <w:noProof/>
                <w:webHidden/>
              </w:rPr>
              <w:fldChar w:fldCharType="end"/>
            </w:r>
          </w:hyperlink>
        </w:p>
        <w:p w14:paraId="6A13C72E" w14:textId="4DA31500" w:rsidR="001E146A" w:rsidRDefault="009C36B0" w:rsidP="009279E6">
          <w:pPr>
            <w:pStyle w:val="TOC2"/>
            <w:tabs>
              <w:tab w:val="left" w:pos="660"/>
              <w:tab w:val="right" w:leader="dot" w:pos="9016"/>
            </w:tabs>
            <w:rPr>
              <w:rFonts w:eastAsiaTheme="minorEastAsia"/>
              <w:noProof/>
              <w:lang w:eastAsia="en-GB"/>
            </w:rPr>
          </w:pPr>
          <w:hyperlink w:anchor="_Toc97212369" w:history="1">
            <w:r w:rsidR="001E146A" w:rsidRPr="006D51A6">
              <w:rPr>
                <w:rStyle w:val="Hyperlink"/>
                <w:b/>
                <w:bCs/>
                <w:noProof/>
              </w:rPr>
              <w:t>I.</w:t>
            </w:r>
            <w:r w:rsidR="001E146A">
              <w:rPr>
                <w:rFonts w:eastAsiaTheme="minorEastAsia"/>
                <w:noProof/>
                <w:lang w:eastAsia="en-GB"/>
              </w:rPr>
              <w:tab/>
            </w:r>
            <w:r w:rsidR="001E146A" w:rsidRPr="006D51A6">
              <w:rPr>
                <w:rStyle w:val="Hyperlink"/>
                <w:b/>
                <w:bCs/>
                <w:noProof/>
              </w:rPr>
              <w:t>Social Housing (Emergency Protection of Tenancy Rights</w:t>
            </w:r>
            <w:r w:rsidR="001E146A">
              <w:rPr>
                <w:noProof/>
                <w:webHidden/>
              </w:rPr>
              <w:tab/>
            </w:r>
            <w:r w:rsidR="001E146A">
              <w:rPr>
                <w:noProof/>
                <w:webHidden/>
              </w:rPr>
              <w:fldChar w:fldCharType="begin"/>
            </w:r>
            <w:r w:rsidR="001E146A">
              <w:rPr>
                <w:noProof/>
                <w:webHidden/>
              </w:rPr>
              <w:instrText xml:space="preserve"> PAGEREF _Toc97212369 \h </w:instrText>
            </w:r>
            <w:r w:rsidR="001E146A">
              <w:rPr>
                <w:noProof/>
                <w:webHidden/>
              </w:rPr>
            </w:r>
            <w:r w:rsidR="001E146A">
              <w:rPr>
                <w:noProof/>
                <w:webHidden/>
              </w:rPr>
              <w:fldChar w:fldCharType="separate"/>
            </w:r>
            <w:r w:rsidR="00101C94">
              <w:rPr>
                <w:noProof/>
                <w:webHidden/>
              </w:rPr>
              <w:t>7</w:t>
            </w:r>
            <w:r w:rsidR="001E146A">
              <w:rPr>
                <w:noProof/>
                <w:webHidden/>
              </w:rPr>
              <w:fldChar w:fldCharType="end"/>
            </w:r>
          </w:hyperlink>
        </w:p>
        <w:p w14:paraId="13CD123F" w14:textId="5D04E280" w:rsidR="001E146A" w:rsidRDefault="009C36B0" w:rsidP="009279E6">
          <w:pPr>
            <w:pStyle w:val="TOC2"/>
            <w:tabs>
              <w:tab w:val="left" w:pos="660"/>
              <w:tab w:val="right" w:leader="dot" w:pos="9016"/>
            </w:tabs>
            <w:rPr>
              <w:rFonts w:eastAsiaTheme="minorEastAsia"/>
              <w:noProof/>
              <w:lang w:eastAsia="en-GB"/>
            </w:rPr>
          </w:pPr>
          <w:hyperlink w:anchor="_Toc97212370" w:history="1">
            <w:r w:rsidR="001E146A" w:rsidRPr="006D51A6">
              <w:rPr>
                <w:rStyle w:val="Hyperlink"/>
                <w:b/>
                <w:bCs/>
                <w:noProof/>
              </w:rPr>
              <w:t>II.</w:t>
            </w:r>
            <w:r w:rsidR="001E146A">
              <w:rPr>
                <w:rFonts w:eastAsiaTheme="minorEastAsia"/>
                <w:noProof/>
                <w:lang w:eastAsia="en-GB"/>
              </w:rPr>
              <w:tab/>
            </w:r>
            <w:r w:rsidR="001E146A" w:rsidRPr="006D51A6">
              <w:rPr>
                <w:rStyle w:val="Hyperlink"/>
                <w:b/>
                <w:bCs/>
                <w:noProof/>
              </w:rPr>
              <w:t>Homeless People (Current Accounts) Bill UPDATED</w:t>
            </w:r>
            <w:r w:rsidR="001E146A">
              <w:rPr>
                <w:noProof/>
                <w:webHidden/>
              </w:rPr>
              <w:tab/>
            </w:r>
            <w:r w:rsidR="001E146A">
              <w:rPr>
                <w:noProof/>
                <w:webHidden/>
              </w:rPr>
              <w:fldChar w:fldCharType="begin"/>
            </w:r>
            <w:r w:rsidR="001E146A">
              <w:rPr>
                <w:noProof/>
                <w:webHidden/>
              </w:rPr>
              <w:instrText xml:space="preserve"> PAGEREF _Toc97212370 \h </w:instrText>
            </w:r>
            <w:r w:rsidR="001E146A">
              <w:rPr>
                <w:noProof/>
                <w:webHidden/>
              </w:rPr>
            </w:r>
            <w:r w:rsidR="001E146A">
              <w:rPr>
                <w:noProof/>
                <w:webHidden/>
              </w:rPr>
              <w:fldChar w:fldCharType="separate"/>
            </w:r>
            <w:r w:rsidR="00101C94">
              <w:rPr>
                <w:noProof/>
                <w:webHidden/>
              </w:rPr>
              <w:t>7</w:t>
            </w:r>
            <w:r w:rsidR="001E146A">
              <w:rPr>
                <w:noProof/>
                <w:webHidden/>
              </w:rPr>
              <w:fldChar w:fldCharType="end"/>
            </w:r>
          </w:hyperlink>
        </w:p>
        <w:p w14:paraId="3D41A8E5" w14:textId="7BE94F41" w:rsidR="001E146A" w:rsidRDefault="009C36B0" w:rsidP="009279E6">
          <w:pPr>
            <w:pStyle w:val="TOC2"/>
            <w:tabs>
              <w:tab w:val="left" w:pos="880"/>
              <w:tab w:val="right" w:leader="dot" w:pos="9016"/>
            </w:tabs>
            <w:rPr>
              <w:rFonts w:eastAsiaTheme="minorEastAsia"/>
              <w:noProof/>
              <w:lang w:eastAsia="en-GB"/>
            </w:rPr>
          </w:pPr>
          <w:hyperlink w:anchor="_Toc97212371" w:history="1">
            <w:r w:rsidR="001E146A" w:rsidRPr="006D51A6">
              <w:rPr>
                <w:rStyle w:val="Hyperlink"/>
                <w:b/>
                <w:bCs/>
                <w:noProof/>
              </w:rPr>
              <w:t>III.</w:t>
            </w:r>
            <w:r w:rsidR="009279E6">
              <w:rPr>
                <w:rFonts w:eastAsiaTheme="minorEastAsia"/>
                <w:noProof/>
                <w:lang w:eastAsia="en-GB"/>
              </w:rPr>
              <w:t xml:space="preserve">    </w:t>
            </w:r>
            <w:r w:rsidR="001E146A" w:rsidRPr="006D51A6">
              <w:rPr>
                <w:rStyle w:val="Hyperlink"/>
                <w:b/>
                <w:bCs/>
                <w:noProof/>
              </w:rPr>
              <w:t>Housing Standards (Refugees and Asylum Seekers) Bill UPDATED</w:t>
            </w:r>
            <w:r w:rsidR="001E146A">
              <w:rPr>
                <w:noProof/>
                <w:webHidden/>
              </w:rPr>
              <w:tab/>
            </w:r>
            <w:r w:rsidR="001E146A">
              <w:rPr>
                <w:noProof/>
                <w:webHidden/>
              </w:rPr>
              <w:fldChar w:fldCharType="begin"/>
            </w:r>
            <w:r w:rsidR="001E146A">
              <w:rPr>
                <w:noProof/>
                <w:webHidden/>
              </w:rPr>
              <w:instrText xml:space="preserve"> PAGEREF _Toc97212371 \h </w:instrText>
            </w:r>
            <w:r w:rsidR="001E146A">
              <w:rPr>
                <w:noProof/>
                <w:webHidden/>
              </w:rPr>
            </w:r>
            <w:r w:rsidR="001E146A">
              <w:rPr>
                <w:noProof/>
                <w:webHidden/>
              </w:rPr>
              <w:fldChar w:fldCharType="separate"/>
            </w:r>
            <w:r w:rsidR="00101C94">
              <w:rPr>
                <w:noProof/>
                <w:webHidden/>
              </w:rPr>
              <w:t>7</w:t>
            </w:r>
            <w:r w:rsidR="001E146A">
              <w:rPr>
                <w:noProof/>
                <w:webHidden/>
              </w:rPr>
              <w:fldChar w:fldCharType="end"/>
            </w:r>
          </w:hyperlink>
        </w:p>
        <w:p w14:paraId="1AF920E6" w14:textId="4994FAFD" w:rsidR="001E146A" w:rsidRDefault="009C36B0" w:rsidP="009279E6">
          <w:pPr>
            <w:pStyle w:val="TOC2"/>
            <w:tabs>
              <w:tab w:val="left" w:pos="880"/>
              <w:tab w:val="right" w:leader="dot" w:pos="9016"/>
            </w:tabs>
            <w:rPr>
              <w:rFonts w:eastAsiaTheme="minorEastAsia"/>
              <w:noProof/>
              <w:lang w:eastAsia="en-GB"/>
            </w:rPr>
          </w:pPr>
          <w:hyperlink w:anchor="_Toc97212372" w:history="1">
            <w:r w:rsidR="001E146A" w:rsidRPr="006D51A6">
              <w:rPr>
                <w:rStyle w:val="Hyperlink"/>
                <w:b/>
                <w:bCs/>
                <w:noProof/>
              </w:rPr>
              <w:t>IV.</w:t>
            </w:r>
            <w:r w:rsidR="009279E6">
              <w:rPr>
                <w:rFonts w:eastAsiaTheme="minorEastAsia"/>
                <w:noProof/>
                <w:lang w:eastAsia="en-GB"/>
              </w:rPr>
              <w:t xml:space="preserve">    </w:t>
            </w:r>
            <w:r w:rsidR="001E146A" w:rsidRPr="006D51A6">
              <w:rPr>
                <w:rStyle w:val="Hyperlink"/>
                <w:b/>
                <w:bCs/>
                <w:noProof/>
              </w:rPr>
              <w:t>Homeless People (Current Accounts) Bill UPDATED</w:t>
            </w:r>
            <w:r w:rsidR="001E146A">
              <w:rPr>
                <w:noProof/>
                <w:webHidden/>
              </w:rPr>
              <w:tab/>
            </w:r>
            <w:r w:rsidR="001E146A">
              <w:rPr>
                <w:noProof/>
                <w:webHidden/>
              </w:rPr>
              <w:fldChar w:fldCharType="begin"/>
            </w:r>
            <w:r w:rsidR="001E146A">
              <w:rPr>
                <w:noProof/>
                <w:webHidden/>
              </w:rPr>
              <w:instrText xml:space="preserve"> PAGEREF _Toc97212372 \h </w:instrText>
            </w:r>
            <w:r w:rsidR="001E146A">
              <w:rPr>
                <w:noProof/>
                <w:webHidden/>
              </w:rPr>
            </w:r>
            <w:r w:rsidR="001E146A">
              <w:rPr>
                <w:noProof/>
                <w:webHidden/>
              </w:rPr>
              <w:fldChar w:fldCharType="separate"/>
            </w:r>
            <w:r w:rsidR="00101C94">
              <w:rPr>
                <w:noProof/>
                <w:webHidden/>
              </w:rPr>
              <w:t>7</w:t>
            </w:r>
            <w:r w:rsidR="001E146A">
              <w:rPr>
                <w:noProof/>
                <w:webHidden/>
              </w:rPr>
              <w:fldChar w:fldCharType="end"/>
            </w:r>
          </w:hyperlink>
        </w:p>
        <w:p w14:paraId="626FEAE0" w14:textId="4D16E3EE" w:rsidR="001E146A" w:rsidRDefault="009C36B0" w:rsidP="009279E6">
          <w:pPr>
            <w:pStyle w:val="TOC2"/>
            <w:tabs>
              <w:tab w:val="left" w:pos="660"/>
              <w:tab w:val="right" w:leader="dot" w:pos="9016"/>
            </w:tabs>
            <w:rPr>
              <w:rFonts w:eastAsiaTheme="minorEastAsia"/>
              <w:noProof/>
              <w:lang w:eastAsia="en-GB"/>
            </w:rPr>
          </w:pPr>
          <w:hyperlink w:anchor="_Toc97212373" w:history="1">
            <w:r w:rsidR="001E146A" w:rsidRPr="006D51A6">
              <w:rPr>
                <w:rStyle w:val="Hyperlink"/>
                <w:b/>
                <w:bCs/>
                <w:noProof/>
              </w:rPr>
              <w:t>V.</w:t>
            </w:r>
            <w:r w:rsidR="001E146A">
              <w:rPr>
                <w:rFonts w:eastAsiaTheme="minorEastAsia"/>
                <w:noProof/>
                <w:lang w:eastAsia="en-GB"/>
              </w:rPr>
              <w:tab/>
            </w:r>
            <w:r w:rsidR="001E146A" w:rsidRPr="006D51A6">
              <w:rPr>
                <w:rStyle w:val="Hyperlink"/>
                <w:b/>
                <w:bCs/>
                <w:noProof/>
              </w:rPr>
              <w:t>Evictions (Universal Credit) Bill UPDATED</w:t>
            </w:r>
            <w:r w:rsidR="001E146A">
              <w:rPr>
                <w:noProof/>
                <w:webHidden/>
              </w:rPr>
              <w:tab/>
            </w:r>
            <w:r w:rsidR="001E146A">
              <w:rPr>
                <w:noProof/>
                <w:webHidden/>
              </w:rPr>
              <w:fldChar w:fldCharType="begin"/>
            </w:r>
            <w:r w:rsidR="001E146A">
              <w:rPr>
                <w:noProof/>
                <w:webHidden/>
              </w:rPr>
              <w:instrText xml:space="preserve"> PAGEREF _Toc97212373 \h </w:instrText>
            </w:r>
            <w:r w:rsidR="001E146A">
              <w:rPr>
                <w:noProof/>
                <w:webHidden/>
              </w:rPr>
            </w:r>
            <w:r w:rsidR="001E146A">
              <w:rPr>
                <w:noProof/>
                <w:webHidden/>
              </w:rPr>
              <w:fldChar w:fldCharType="separate"/>
            </w:r>
            <w:r w:rsidR="00101C94">
              <w:rPr>
                <w:noProof/>
                <w:webHidden/>
              </w:rPr>
              <w:t>7</w:t>
            </w:r>
            <w:r w:rsidR="001E146A">
              <w:rPr>
                <w:noProof/>
                <w:webHidden/>
              </w:rPr>
              <w:fldChar w:fldCharType="end"/>
            </w:r>
          </w:hyperlink>
        </w:p>
        <w:p w14:paraId="7A926C9D" w14:textId="7C0A262C" w:rsidR="001E146A" w:rsidRDefault="009C36B0" w:rsidP="009279E6">
          <w:pPr>
            <w:pStyle w:val="TOC2"/>
            <w:tabs>
              <w:tab w:val="left" w:pos="880"/>
              <w:tab w:val="right" w:leader="dot" w:pos="9016"/>
            </w:tabs>
            <w:rPr>
              <w:rFonts w:eastAsiaTheme="minorEastAsia"/>
              <w:noProof/>
              <w:lang w:eastAsia="en-GB"/>
            </w:rPr>
          </w:pPr>
          <w:hyperlink w:anchor="_Toc97212374" w:history="1">
            <w:r w:rsidR="001E146A" w:rsidRPr="006D51A6">
              <w:rPr>
                <w:rStyle w:val="Hyperlink"/>
                <w:b/>
                <w:bCs/>
                <w:noProof/>
              </w:rPr>
              <w:t>VI.</w:t>
            </w:r>
            <w:r w:rsidR="009279E6">
              <w:rPr>
                <w:rFonts w:eastAsiaTheme="minorEastAsia"/>
                <w:noProof/>
                <w:lang w:eastAsia="en-GB"/>
              </w:rPr>
              <w:t xml:space="preserve">    </w:t>
            </w:r>
            <w:r w:rsidR="001E146A" w:rsidRPr="006D51A6">
              <w:rPr>
                <w:rStyle w:val="Hyperlink"/>
                <w:b/>
                <w:bCs/>
                <w:noProof/>
              </w:rPr>
              <w:t>Building Safety Bill</w:t>
            </w:r>
            <w:r w:rsidR="001E146A">
              <w:rPr>
                <w:noProof/>
                <w:webHidden/>
              </w:rPr>
              <w:tab/>
            </w:r>
            <w:r w:rsidR="001E146A">
              <w:rPr>
                <w:noProof/>
                <w:webHidden/>
              </w:rPr>
              <w:fldChar w:fldCharType="begin"/>
            </w:r>
            <w:r w:rsidR="001E146A">
              <w:rPr>
                <w:noProof/>
                <w:webHidden/>
              </w:rPr>
              <w:instrText xml:space="preserve"> PAGEREF _Toc97212374 \h </w:instrText>
            </w:r>
            <w:r w:rsidR="001E146A">
              <w:rPr>
                <w:noProof/>
                <w:webHidden/>
              </w:rPr>
            </w:r>
            <w:r w:rsidR="001E146A">
              <w:rPr>
                <w:noProof/>
                <w:webHidden/>
              </w:rPr>
              <w:fldChar w:fldCharType="separate"/>
            </w:r>
            <w:r w:rsidR="00101C94">
              <w:rPr>
                <w:noProof/>
                <w:webHidden/>
              </w:rPr>
              <w:t>8</w:t>
            </w:r>
            <w:r w:rsidR="001E146A">
              <w:rPr>
                <w:noProof/>
                <w:webHidden/>
              </w:rPr>
              <w:fldChar w:fldCharType="end"/>
            </w:r>
          </w:hyperlink>
        </w:p>
        <w:p w14:paraId="5E5DA9AF" w14:textId="1407BC4A" w:rsidR="001E146A" w:rsidRDefault="009C36B0" w:rsidP="009279E6">
          <w:pPr>
            <w:pStyle w:val="TOC2"/>
            <w:tabs>
              <w:tab w:val="left" w:pos="880"/>
              <w:tab w:val="right" w:leader="dot" w:pos="9016"/>
            </w:tabs>
            <w:rPr>
              <w:rFonts w:eastAsiaTheme="minorEastAsia"/>
              <w:noProof/>
              <w:lang w:eastAsia="en-GB"/>
            </w:rPr>
          </w:pPr>
          <w:hyperlink w:anchor="_Toc97212375" w:history="1">
            <w:r w:rsidR="001E146A" w:rsidRPr="006D51A6">
              <w:rPr>
                <w:rStyle w:val="Hyperlink"/>
                <w:b/>
                <w:bCs/>
                <w:noProof/>
              </w:rPr>
              <w:t>VII.</w:t>
            </w:r>
            <w:r w:rsidR="009279E6">
              <w:rPr>
                <w:rFonts w:eastAsiaTheme="minorEastAsia"/>
                <w:noProof/>
                <w:lang w:eastAsia="en-GB"/>
              </w:rPr>
              <w:t xml:space="preserve">  </w:t>
            </w:r>
            <w:r w:rsidR="001E146A" w:rsidRPr="006D51A6">
              <w:rPr>
                <w:rStyle w:val="Hyperlink"/>
                <w:b/>
                <w:bCs/>
                <w:noProof/>
              </w:rPr>
              <w:t>Fire Safety Remediation Charges (Recovery and Enforcement) Bill</w:t>
            </w:r>
            <w:r w:rsidR="001E146A">
              <w:rPr>
                <w:noProof/>
                <w:webHidden/>
              </w:rPr>
              <w:tab/>
            </w:r>
            <w:r w:rsidR="001E146A">
              <w:rPr>
                <w:noProof/>
                <w:webHidden/>
              </w:rPr>
              <w:fldChar w:fldCharType="begin"/>
            </w:r>
            <w:r w:rsidR="001E146A">
              <w:rPr>
                <w:noProof/>
                <w:webHidden/>
              </w:rPr>
              <w:instrText xml:space="preserve"> PAGEREF _Toc97212375 \h </w:instrText>
            </w:r>
            <w:r w:rsidR="001E146A">
              <w:rPr>
                <w:noProof/>
                <w:webHidden/>
              </w:rPr>
            </w:r>
            <w:r w:rsidR="001E146A">
              <w:rPr>
                <w:noProof/>
                <w:webHidden/>
              </w:rPr>
              <w:fldChar w:fldCharType="separate"/>
            </w:r>
            <w:r w:rsidR="00101C94">
              <w:rPr>
                <w:noProof/>
                <w:webHidden/>
              </w:rPr>
              <w:t>8</w:t>
            </w:r>
            <w:r w:rsidR="001E146A">
              <w:rPr>
                <w:noProof/>
                <w:webHidden/>
              </w:rPr>
              <w:fldChar w:fldCharType="end"/>
            </w:r>
          </w:hyperlink>
        </w:p>
        <w:p w14:paraId="4A439915" w14:textId="3187D757" w:rsidR="001E146A" w:rsidRDefault="009C36B0">
          <w:pPr>
            <w:pStyle w:val="TOC2"/>
            <w:tabs>
              <w:tab w:val="left" w:pos="880"/>
              <w:tab w:val="right" w:leader="dot" w:pos="9016"/>
            </w:tabs>
            <w:rPr>
              <w:rFonts w:eastAsiaTheme="minorEastAsia"/>
              <w:noProof/>
              <w:lang w:eastAsia="en-GB"/>
            </w:rPr>
          </w:pPr>
          <w:hyperlink w:anchor="_Toc97212376" w:history="1">
            <w:r w:rsidR="001E146A" w:rsidRPr="006D51A6">
              <w:rPr>
                <w:rStyle w:val="Hyperlink"/>
                <w:b/>
                <w:bCs/>
                <w:noProof/>
              </w:rPr>
              <w:t>VIII.</w:t>
            </w:r>
            <w:r w:rsidR="009279E6">
              <w:rPr>
                <w:rFonts w:eastAsiaTheme="minorEastAsia"/>
                <w:noProof/>
                <w:lang w:eastAsia="en-GB"/>
              </w:rPr>
              <w:t xml:space="preserve"> </w:t>
            </w:r>
            <w:r w:rsidR="001E146A" w:rsidRPr="006D51A6">
              <w:rPr>
                <w:rStyle w:val="Hyperlink"/>
                <w:b/>
                <w:bCs/>
                <w:noProof/>
              </w:rPr>
              <w:t>Asylum Seekers (Accommodation Eviction Procedures) Bill</w:t>
            </w:r>
            <w:r w:rsidR="001E146A">
              <w:rPr>
                <w:noProof/>
                <w:webHidden/>
              </w:rPr>
              <w:tab/>
            </w:r>
            <w:r w:rsidR="001E146A">
              <w:rPr>
                <w:noProof/>
                <w:webHidden/>
              </w:rPr>
              <w:fldChar w:fldCharType="begin"/>
            </w:r>
            <w:r w:rsidR="001E146A">
              <w:rPr>
                <w:noProof/>
                <w:webHidden/>
              </w:rPr>
              <w:instrText xml:space="preserve"> PAGEREF _Toc97212376 \h </w:instrText>
            </w:r>
            <w:r w:rsidR="001E146A">
              <w:rPr>
                <w:noProof/>
                <w:webHidden/>
              </w:rPr>
            </w:r>
            <w:r w:rsidR="001E146A">
              <w:rPr>
                <w:noProof/>
                <w:webHidden/>
              </w:rPr>
              <w:fldChar w:fldCharType="separate"/>
            </w:r>
            <w:r w:rsidR="00101C94">
              <w:rPr>
                <w:noProof/>
                <w:webHidden/>
              </w:rPr>
              <w:t>8</w:t>
            </w:r>
            <w:r w:rsidR="001E146A">
              <w:rPr>
                <w:noProof/>
                <w:webHidden/>
              </w:rPr>
              <w:fldChar w:fldCharType="end"/>
            </w:r>
          </w:hyperlink>
        </w:p>
        <w:p w14:paraId="1E5493CC" w14:textId="61525051" w:rsidR="001E146A" w:rsidRDefault="009C36B0">
          <w:pPr>
            <w:pStyle w:val="TOC2"/>
            <w:tabs>
              <w:tab w:val="left" w:pos="880"/>
              <w:tab w:val="right" w:leader="dot" w:pos="9016"/>
            </w:tabs>
            <w:rPr>
              <w:rFonts w:eastAsiaTheme="minorEastAsia"/>
              <w:noProof/>
              <w:lang w:eastAsia="en-GB"/>
            </w:rPr>
          </w:pPr>
          <w:hyperlink w:anchor="_Toc97212377" w:history="1">
            <w:r w:rsidR="001E146A" w:rsidRPr="006D51A6">
              <w:rPr>
                <w:rStyle w:val="Hyperlink"/>
                <w:b/>
                <w:bCs/>
                <w:noProof/>
              </w:rPr>
              <w:t>IX.</w:t>
            </w:r>
            <w:r w:rsidR="00D805FD">
              <w:rPr>
                <w:rStyle w:val="Hyperlink"/>
                <w:b/>
                <w:bCs/>
                <w:noProof/>
              </w:rPr>
              <w:t xml:space="preserve">    </w:t>
            </w:r>
            <w:r w:rsidR="001E146A" w:rsidRPr="006D51A6">
              <w:rPr>
                <w:rStyle w:val="Hyperlink"/>
                <w:b/>
                <w:bCs/>
                <w:noProof/>
              </w:rPr>
              <w:t>Fi</w:t>
            </w:r>
            <w:r w:rsidR="00D805FD">
              <w:rPr>
                <w:rStyle w:val="Hyperlink"/>
                <w:b/>
                <w:bCs/>
                <w:noProof/>
              </w:rPr>
              <w:t>r</w:t>
            </w:r>
            <w:r w:rsidR="001E146A" w:rsidRPr="006D51A6">
              <w:rPr>
                <w:rStyle w:val="Hyperlink"/>
                <w:b/>
                <w:bCs/>
                <w:noProof/>
              </w:rPr>
              <w:t>e and Building Safety (Public Inquiry) Bill</w:t>
            </w:r>
            <w:r w:rsidR="001E146A">
              <w:rPr>
                <w:noProof/>
                <w:webHidden/>
              </w:rPr>
              <w:tab/>
            </w:r>
            <w:r w:rsidR="001E146A">
              <w:rPr>
                <w:noProof/>
                <w:webHidden/>
              </w:rPr>
              <w:fldChar w:fldCharType="begin"/>
            </w:r>
            <w:r w:rsidR="001E146A">
              <w:rPr>
                <w:noProof/>
                <w:webHidden/>
              </w:rPr>
              <w:instrText xml:space="preserve"> PAGEREF _Toc97212377 \h </w:instrText>
            </w:r>
            <w:r w:rsidR="001E146A">
              <w:rPr>
                <w:noProof/>
                <w:webHidden/>
              </w:rPr>
            </w:r>
            <w:r w:rsidR="001E146A">
              <w:rPr>
                <w:noProof/>
                <w:webHidden/>
              </w:rPr>
              <w:fldChar w:fldCharType="separate"/>
            </w:r>
            <w:r w:rsidR="00101C94">
              <w:rPr>
                <w:noProof/>
                <w:webHidden/>
              </w:rPr>
              <w:t>8</w:t>
            </w:r>
            <w:r w:rsidR="001E146A">
              <w:rPr>
                <w:noProof/>
                <w:webHidden/>
              </w:rPr>
              <w:fldChar w:fldCharType="end"/>
            </w:r>
          </w:hyperlink>
        </w:p>
        <w:p w14:paraId="2DB6B26E" w14:textId="0B496EC3" w:rsidR="001E146A" w:rsidRDefault="009C36B0">
          <w:pPr>
            <w:pStyle w:val="TOC2"/>
            <w:tabs>
              <w:tab w:val="left" w:pos="660"/>
              <w:tab w:val="right" w:leader="dot" w:pos="9016"/>
            </w:tabs>
            <w:rPr>
              <w:rFonts w:eastAsiaTheme="minorEastAsia"/>
              <w:noProof/>
              <w:lang w:eastAsia="en-GB"/>
            </w:rPr>
          </w:pPr>
          <w:hyperlink w:anchor="_Toc97212378" w:history="1">
            <w:r w:rsidR="001E146A" w:rsidRPr="006D51A6">
              <w:rPr>
                <w:rStyle w:val="Hyperlink"/>
                <w:b/>
                <w:bCs/>
                <w:noProof/>
              </w:rPr>
              <w:t>X.</w:t>
            </w:r>
            <w:r w:rsidR="001E146A">
              <w:rPr>
                <w:rFonts w:eastAsiaTheme="minorEastAsia"/>
                <w:noProof/>
                <w:lang w:eastAsia="en-GB"/>
              </w:rPr>
              <w:tab/>
            </w:r>
            <w:r w:rsidR="001E146A" w:rsidRPr="006D51A6">
              <w:rPr>
                <w:rStyle w:val="Hyperlink"/>
                <w:b/>
                <w:bCs/>
                <w:noProof/>
              </w:rPr>
              <w:t>Under-Occupancy Penalty (Report) Bill</w:t>
            </w:r>
            <w:r w:rsidR="001E146A">
              <w:rPr>
                <w:noProof/>
                <w:webHidden/>
              </w:rPr>
              <w:tab/>
            </w:r>
            <w:r w:rsidR="001E146A">
              <w:rPr>
                <w:noProof/>
                <w:webHidden/>
              </w:rPr>
              <w:fldChar w:fldCharType="begin"/>
            </w:r>
            <w:r w:rsidR="001E146A">
              <w:rPr>
                <w:noProof/>
                <w:webHidden/>
              </w:rPr>
              <w:instrText xml:space="preserve"> PAGEREF _Toc97212378 \h </w:instrText>
            </w:r>
            <w:r w:rsidR="001E146A">
              <w:rPr>
                <w:noProof/>
                <w:webHidden/>
              </w:rPr>
            </w:r>
            <w:r w:rsidR="001E146A">
              <w:rPr>
                <w:noProof/>
                <w:webHidden/>
              </w:rPr>
              <w:fldChar w:fldCharType="separate"/>
            </w:r>
            <w:r w:rsidR="00101C94">
              <w:rPr>
                <w:noProof/>
                <w:webHidden/>
              </w:rPr>
              <w:t>8</w:t>
            </w:r>
            <w:r w:rsidR="001E146A">
              <w:rPr>
                <w:noProof/>
                <w:webHidden/>
              </w:rPr>
              <w:fldChar w:fldCharType="end"/>
            </w:r>
          </w:hyperlink>
        </w:p>
        <w:p w14:paraId="1F17599D" w14:textId="54E7FE13" w:rsidR="00421970" w:rsidRDefault="00421970">
          <w:r>
            <w:rPr>
              <w:b/>
              <w:bCs/>
              <w:noProof/>
            </w:rPr>
            <w:fldChar w:fldCharType="end"/>
          </w:r>
        </w:p>
      </w:sdtContent>
    </w:sdt>
    <w:p w14:paraId="6B7297C6" w14:textId="185B2550" w:rsidR="00192FAC" w:rsidRPr="00120BDC" w:rsidRDefault="00406D44" w:rsidP="00E208DF">
      <w:pPr>
        <w:pStyle w:val="Heading1"/>
        <w:numPr>
          <w:ilvl w:val="0"/>
          <w:numId w:val="30"/>
        </w:numPr>
        <w:jc w:val="both"/>
        <w:rPr>
          <w:b/>
          <w:bCs/>
          <w:sz w:val="28"/>
          <w:szCs w:val="28"/>
        </w:rPr>
      </w:pPr>
      <w:bookmarkStart w:id="1" w:name="_Toc97212349"/>
      <w:r w:rsidRPr="00120BDC">
        <w:rPr>
          <w:b/>
          <w:bCs/>
          <w:sz w:val="28"/>
          <w:szCs w:val="28"/>
        </w:rPr>
        <w:t>Ending ‘no fault’ section 21 evictions</w:t>
      </w:r>
      <w:bookmarkEnd w:id="1"/>
    </w:p>
    <w:p w14:paraId="7A768343" w14:textId="258B9F46" w:rsidR="00406D44" w:rsidRPr="00406D44" w:rsidRDefault="00E97389" w:rsidP="00764994">
      <w:pPr>
        <w:jc w:val="both"/>
      </w:pPr>
      <w:r>
        <w:t xml:space="preserve">The </w:t>
      </w:r>
      <w:r w:rsidRPr="00E97389">
        <w:t xml:space="preserve"> House of Commons Library published a </w:t>
      </w:r>
      <w:r w:rsidR="00596175">
        <w:t>research briefing</w:t>
      </w:r>
      <w:r w:rsidR="00182F96">
        <w:t xml:space="preserve"> paper</w:t>
      </w:r>
      <w:r w:rsidR="00596175">
        <w:t xml:space="preserve"> </w:t>
      </w:r>
      <w:r>
        <w:t xml:space="preserve"> on 31 December 2021</w:t>
      </w:r>
      <w:r w:rsidRPr="00E97389">
        <w:t xml:space="preserve"> covering the background and reactions to date to the </w:t>
      </w:r>
      <w:r w:rsidR="00182F96">
        <w:t>g</w:t>
      </w:r>
      <w:r w:rsidRPr="00E97389">
        <w:t xml:space="preserve">overnment’s announcement that it is committed to abolishing 'no-fault' section 21 evictions in the private rented sector. A White Paper is expected in 2022. </w:t>
      </w:r>
      <w:r w:rsidR="00596175">
        <w:t xml:space="preserve"> The research briefing can be found here: </w:t>
      </w:r>
      <w:hyperlink r:id="rId9" w:history="1">
        <w:r w:rsidR="00764994" w:rsidRPr="00764994">
          <w:rPr>
            <w:rStyle w:val="Hyperlink"/>
          </w:rPr>
          <w:t>The end of 'no fault' section 21 evictions - House of Commons Library (parliament.uk)</w:t>
        </w:r>
      </w:hyperlink>
    </w:p>
    <w:p w14:paraId="0E1F9458" w14:textId="1E242380" w:rsidR="00875608" w:rsidRPr="00120BDC" w:rsidRDefault="00FD31DC" w:rsidP="00E208DF">
      <w:pPr>
        <w:pStyle w:val="Heading1"/>
        <w:numPr>
          <w:ilvl w:val="0"/>
          <w:numId w:val="30"/>
        </w:numPr>
        <w:jc w:val="both"/>
        <w:rPr>
          <w:b/>
          <w:bCs/>
          <w:sz w:val="28"/>
          <w:szCs w:val="28"/>
        </w:rPr>
      </w:pPr>
      <w:bookmarkStart w:id="2" w:name="_Toc97212350"/>
      <w:r w:rsidRPr="00120BDC">
        <w:rPr>
          <w:b/>
          <w:bCs/>
          <w:sz w:val="28"/>
          <w:szCs w:val="28"/>
        </w:rPr>
        <w:t>Cladding and fire risk in flats</w:t>
      </w:r>
      <w:bookmarkEnd w:id="2"/>
    </w:p>
    <w:p w14:paraId="785D83D7" w14:textId="38A01212" w:rsidR="00FD31DC" w:rsidRDefault="00FD31DC" w:rsidP="00C33563">
      <w:pPr>
        <w:pStyle w:val="NoSpacing"/>
        <w:jc w:val="both"/>
      </w:pPr>
      <w:r>
        <w:t>On 10 January 2022</w:t>
      </w:r>
      <w:r w:rsidR="00981C7E">
        <w:t>,</w:t>
      </w:r>
      <w:r>
        <w:t xml:space="preserve"> the Secretary of State for Levelling Up, Housing and Communities, Michael Gove, wrote to the residential property developer industry and warned developers that they must pay to fix the cladding crisis that they caused</w:t>
      </w:r>
      <w:r w:rsidR="005643A8">
        <w:t xml:space="preserve">, giving them </w:t>
      </w:r>
      <w:r w:rsidR="00182F96">
        <w:t xml:space="preserve"> </w:t>
      </w:r>
      <w:r>
        <w:t>a deadline of early March to agree a fully funded plan of action including remediating unsafe cladding on 11-18 metre buildings, currently estimated to be £4 billion. He warned that he will take all steps necessary to make this happen, including restricting access to government funding and future procurements, the use of planning powers and the pursuit of companies through the courts. He added that if industry fails to take responsibility, the government will, if necessary, impose a solution in law.</w:t>
      </w:r>
    </w:p>
    <w:p w14:paraId="6530F662" w14:textId="77777777" w:rsidR="00182F96" w:rsidRDefault="00182F96" w:rsidP="00C33563">
      <w:pPr>
        <w:pStyle w:val="NoSpacing"/>
        <w:jc w:val="both"/>
      </w:pPr>
    </w:p>
    <w:p w14:paraId="7502292C" w14:textId="77777777" w:rsidR="00FD31DC" w:rsidRDefault="00FD31DC" w:rsidP="00C33563">
      <w:pPr>
        <w:jc w:val="both"/>
      </w:pPr>
      <w:r>
        <w:t>On the same day the Secretary of State made a statement to Parliament resetting the Government’s approach to building safety and guaranteeing that no leaseholder living in their own flat will have to ‘pay a penny’ to fix unsafe cladding. Mr Gove outline a four-point plan:</w:t>
      </w:r>
    </w:p>
    <w:p w14:paraId="63893C7F" w14:textId="77777777" w:rsidR="00FD31DC" w:rsidRDefault="00FD31DC" w:rsidP="00C33563">
      <w:pPr>
        <w:pStyle w:val="ListParagraph"/>
        <w:numPr>
          <w:ilvl w:val="0"/>
          <w:numId w:val="34"/>
        </w:numPr>
        <w:jc w:val="both"/>
      </w:pPr>
      <w:r>
        <w:t>Opening up the next phase of the Building Safety Fund to drive forward taking dangerous cladding off high-rise buildings, prioritising the Government’s £5.1 billion funding on the highest risk</w:t>
      </w:r>
    </w:p>
    <w:p w14:paraId="22E2BE2A" w14:textId="77777777" w:rsidR="00FD31DC" w:rsidRDefault="00FD31DC" w:rsidP="00C33563">
      <w:pPr>
        <w:pStyle w:val="ListParagraph"/>
        <w:numPr>
          <w:ilvl w:val="0"/>
          <w:numId w:val="34"/>
        </w:numPr>
        <w:jc w:val="both"/>
      </w:pPr>
      <w:r>
        <w:t>Those at fault will be held properly to account: a new team is being established to pursue and expose companies at fault, making them fix the buildings they built and face commercial consequences if they refuse</w:t>
      </w:r>
    </w:p>
    <w:p w14:paraId="6FA6058E" w14:textId="77777777" w:rsidR="00FD31DC" w:rsidRDefault="00FD31DC" w:rsidP="00C33563">
      <w:pPr>
        <w:pStyle w:val="ListParagraph"/>
        <w:numPr>
          <w:ilvl w:val="0"/>
          <w:numId w:val="34"/>
        </w:numPr>
        <w:jc w:val="both"/>
      </w:pPr>
      <w:r>
        <w:t>Restoring common sense to building assessments: indemnifying building assessors from being sued; and withdrawing the old, misinterpreted government advice that prompted too many buildings being declared as unsafe; and</w:t>
      </w:r>
    </w:p>
    <w:p w14:paraId="7BB7D44B" w14:textId="328F456A" w:rsidR="00FD31DC" w:rsidRDefault="00FD31DC" w:rsidP="00C33563">
      <w:pPr>
        <w:pStyle w:val="ListParagraph"/>
        <w:numPr>
          <w:ilvl w:val="0"/>
          <w:numId w:val="34"/>
        </w:numPr>
        <w:jc w:val="both"/>
      </w:pPr>
      <w:r>
        <w:t>New protections for leaseholders living in their own flats: with no bills for fixing unsafe cladding and new statutory protections for leaseholders within the Building Safety Bill.</w:t>
      </w:r>
    </w:p>
    <w:tbl>
      <w:tblPr>
        <w:tblW w:w="5017" w:type="pct"/>
        <w:tblCellSpacing w:w="0" w:type="dxa"/>
        <w:tblCellMar>
          <w:left w:w="0" w:type="dxa"/>
          <w:right w:w="0" w:type="dxa"/>
        </w:tblCellMar>
        <w:tblLook w:val="04A0" w:firstRow="1" w:lastRow="0" w:firstColumn="1" w:lastColumn="0" w:noHBand="0" w:noVBand="1"/>
      </w:tblPr>
      <w:tblGrid>
        <w:gridCol w:w="9057"/>
      </w:tblGrid>
      <w:tr w:rsidR="00C33563" w:rsidRPr="00C33563" w14:paraId="749BECA4" w14:textId="77777777" w:rsidTr="00C33563">
        <w:trPr>
          <w:trHeight w:val="519"/>
          <w:tblCellSpacing w:w="0" w:type="dxa"/>
        </w:trPr>
        <w:tc>
          <w:tcPr>
            <w:tcW w:w="0" w:type="auto"/>
            <w:vAlign w:val="center"/>
            <w:hideMark/>
          </w:tcPr>
          <w:p w14:paraId="54F9220B" w14:textId="5D114600" w:rsidR="00C33563" w:rsidRPr="00C33563" w:rsidRDefault="00764994" w:rsidP="00C33563">
            <w:pPr>
              <w:spacing w:before="100" w:beforeAutospacing="1" w:after="100" w:afterAutospacing="1" w:line="285" w:lineRule="atLeast"/>
              <w:jc w:val="both"/>
              <w:rPr>
                <w:rFonts w:eastAsia="Times New Roman" w:cstheme="minorHAnsi"/>
                <w:color w:val="000000"/>
                <w:lang w:eastAsia="en-GB"/>
              </w:rPr>
            </w:pPr>
            <w:r w:rsidRPr="0070629F">
              <w:rPr>
                <w:rFonts w:eastAsia="Times New Roman" w:cstheme="minorHAnsi"/>
                <w:color w:val="000000"/>
                <w:lang w:eastAsia="en-GB"/>
              </w:rPr>
              <w:t xml:space="preserve">The letter </w:t>
            </w:r>
            <w:r w:rsidR="00C33563" w:rsidRPr="00C33563">
              <w:rPr>
                <w:rFonts w:eastAsia="Times New Roman" w:cstheme="minorHAnsi"/>
                <w:color w:val="000000"/>
                <w:lang w:eastAsia="en-GB"/>
              </w:rPr>
              <w:t>to developers</w:t>
            </w:r>
            <w:r w:rsidR="0070629F" w:rsidRPr="0070629F">
              <w:rPr>
                <w:rFonts w:eastAsia="Times New Roman" w:cstheme="minorHAnsi"/>
                <w:color w:val="000000"/>
                <w:lang w:eastAsia="en-GB"/>
              </w:rPr>
              <w:t xml:space="preserve"> and the </w:t>
            </w:r>
            <w:r w:rsidR="00C33563" w:rsidRPr="00C33563">
              <w:rPr>
                <w:rFonts w:eastAsia="Times New Roman" w:cstheme="minorHAnsi"/>
                <w:color w:val="000000"/>
                <w:lang w:eastAsia="en-GB"/>
              </w:rPr>
              <w:t>DLUHC announcement</w:t>
            </w:r>
            <w:r w:rsidR="0070629F" w:rsidRPr="0070629F">
              <w:rPr>
                <w:rFonts w:eastAsia="Times New Roman" w:cstheme="minorHAnsi"/>
                <w:color w:val="000000"/>
                <w:lang w:eastAsia="en-GB"/>
              </w:rPr>
              <w:t xml:space="preserve"> can be found here: </w:t>
            </w:r>
            <w:hyperlink r:id="rId10" w:history="1">
              <w:r w:rsidR="005C32FF" w:rsidRPr="005C32FF">
                <w:rPr>
                  <w:rStyle w:val="Hyperlink"/>
                  <w:rFonts w:eastAsia="Times New Roman" w:cstheme="minorHAnsi"/>
                  <w:lang w:eastAsia="en-GB"/>
                </w:rPr>
                <w:t>Letter from the DLUHC Secretary of State to the residential property developer industry (publishing.service.gov.uk)</w:t>
              </w:r>
            </w:hyperlink>
          </w:p>
        </w:tc>
      </w:tr>
    </w:tbl>
    <w:p w14:paraId="5C0F4398" w14:textId="6D44E356" w:rsidR="00A76060" w:rsidRPr="007C3B2D" w:rsidRDefault="003D746F" w:rsidP="000153AC">
      <w:pPr>
        <w:pStyle w:val="Heading1"/>
        <w:numPr>
          <w:ilvl w:val="0"/>
          <w:numId w:val="30"/>
        </w:numPr>
        <w:rPr>
          <w:b/>
          <w:bCs/>
          <w:sz w:val="28"/>
          <w:szCs w:val="28"/>
        </w:rPr>
      </w:pPr>
      <w:bookmarkStart w:id="3" w:name="_Toc97212351"/>
      <w:r w:rsidRPr="007C3B2D">
        <w:rPr>
          <w:b/>
          <w:bCs/>
          <w:sz w:val="28"/>
          <w:szCs w:val="28"/>
        </w:rPr>
        <w:t>Short-term lettings – England</w:t>
      </w:r>
      <w:bookmarkEnd w:id="3"/>
    </w:p>
    <w:p w14:paraId="06D249D0" w14:textId="7B73BF01" w:rsidR="003D746F" w:rsidRPr="003D746F" w:rsidRDefault="00D8505C" w:rsidP="00D8505C">
      <w:pPr>
        <w:pStyle w:val="NoSpacing"/>
        <w:jc w:val="both"/>
      </w:pPr>
      <w:r>
        <w:t xml:space="preserve">The </w:t>
      </w:r>
      <w:r w:rsidR="008506AA" w:rsidRPr="008506AA">
        <w:t xml:space="preserve"> House of Commons Library published a </w:t>
      </w:r>
      <w:r>
        <w:t xml:space="preserve">research briefing on 14 January 2022 which  </w:t>
      </w:r>
      <w:r w:rsidR="008506AA" w:rsidRPr="008506AA">
        <w:t>examin</w:t>
      </w:r>
      <w:r>
        <w:t xml:space="preserve">es </w:t>
      </w:r>
      <w:r w:rsidR="008506AA" w:rsidRPr="008506AA">
        <w:t xml:space="preserve">the growth in short-term lettings and calling for greater regulation of the sector in England. It provides a brief overview of the regulatory approaches in other countries. </w:t>
      </w:r>
      <w:hyperlink r:id="rId11" w:history="1">
        <w:r w:rsidR="0016221B" w:rsidRPr="0016221B">
          <w:rPr>
            <w:rStyle w:val="Hyperlink"/>
          </w:rPr>
          <w:t>CBP-8395.pdf (parliament.uk)</w:t>
        </w:r>
      </w:hyperlink>
    </w:p>
    <w:p w14:paraId="59B3A66B" w14:textId="1BB0D4EE" w:rsidR="00F73871" w:rsidRPr="00F51083" w:rsidRDefault="006D2A9A" w:rsidP="007C3B2D">
      <w:pPr>
        <w:pStyle w:val="Heading1"/>
        <w:numPr>
          <w:ilvl w:val="0"/>
          <w:numId w:val="30"/>
        </w:numPr>
        <w:jc w:val="both"/>
        <w:rPr>
          <w:sz w:val="28"/>
          <w:szCs w:val="28"/>
        </w:rPr>
      </w:pPr>
      <w:bookmarkStart w:id="4" w:name="_Toc97212352"/>
      <w:r w:rsidRPr="007C3B2D">
        <w:rPr>
          <w:b/>
          <w:bCs/>
          <w:sz w:val="28"/>
          <w:szCs w:val="28"/>
        </w:rPr>
        <w:lastRenderedPageBreak/>
        <w:t>Understanding the possession action process:</w:t>
      </w:r>
      <w:r w:rsidR="00516E52" w:rsidRPr="007C3B2D">
        <w:rPr>
          <w:b/>
          <w:bCs/>
          <w:sz w:val="28"/>
          <w:szCs w:val="28"/>
        </w:rPr>
        <w:t xml:space="preserve"> Updated</w:t>
      </w:r>
      <w:r w:rsidRPr="007C3B2D">
        <w:rPr>
          <w:b/>
          <w:bCs/>
          <w:sz w:val="28"/>
          <w:szCs w:val="28"/>
        </w:rPr>
        <w:t xml:space="preserve"> guidance for</w:t>
      </w:r>
      <w:r w:rsidRPr="00F51083">
        <w:rPr>
          <w:sz w:val="28"/>
          <w:szCs w:val="28"/>
        </w:rPr>
        <w:t xml:space="preserve"> </w:t>
      </w:r>
      <w:r w:rsidRPr="007C3B2D">
        <w:rPr>
          <w:b/>
          <w:bCs/>
          <w:sz w:val="28"/>
          <w:szCs w:val="28"/>
        </w:rPr>
        <w:t>landlords and tenants</w:t>
      </w:r>
      <w:bookmarkEnd w:id="4"/>
    </w:p>
    <w:p w14:paraId="63A4BAAC" w14:textId="1509166D" w:rsidR="004D375A" w:rsidRPr="004D375A" w:rsidRDefault="004442B2" w:rsidP="00DB0CDA">
      <w:pPr>
        <w:jc w:val="both"/>
      </w:pPr>
      <w:r>
        <w:t>The gui</w:t>
      </w:r>
      <w:r w:rsidR="00401BB9">
        <w:t xml:space="preserve">dance </w:t>
      </w:r>
      <w:r w:rsidR="009030B4" w:rsidRPr="009030B4">
        <w:t xml:space="preserve">for landlords and tenants in the private and social rented </w:t>
      </w:r>
      <w:r w:rsidR="00B34211">
        <w:t xml:space="preserve">has recently been updated to include a </w:t>
      </w:r>
      <w:r w:rsidR="00B34211" w:rsidRPr="00B34211">
        <w:t>Call-out box added on the lifting of Plan B measures</w:t>
      </w:r>
      <w:r w:rsidR="00B34211">
        <w:t xml:space="preserve"> on 19 January 2022.</w:t>
      </w:r>
      <w:r w:rsidR="00764026">
        <w:t xml:space="preserve"> The guidance documents can be found </w:t>
      </w:r>
      <w:r w:rsidR="00740A99">
        <w:t xml:space="preserve">here: </w:t>
      </w:r>
      <w:hyperlink r:id="rId12" w:anchor="full-publication-update-history" w:history="1">
        <w:r w:rsidR="00740A99" w:rsidRPr="00740A99">
          <w:rPr>
            <w:rStyle w:val="Hyperlink"/>
          </w:rPr>
          <w:t>Understanding the possession action process: guidance for landlords and tenants - GOV.UK (www.gov.uk)</w:t>
        </w:r>
      </w:hyperlink>
    </w:p>
    <w:p w14:paraId="5D0CFEC6" w14:textId="2AC7FDFC" w:rsidR="00E10F7B" w:rsidRPr="007C3B2D" w:rsidRDefault="00224F4D" w:rsidP="007C3B2D">
      <w:pPr>
        <w:pStyle w:val="Heading1"/>
        <w:numPr>
          <w:ilvl w:val="0"/>
          <w:numId w:val="30"/>
        </w:numPr>
        <w:jc w:val="both"/>
        <w:rPr>
          <w:b/>
          <w:bCs/>
          <w:sz w:val="28"/>
          <w:szCs w:val="28"/>
        </w:rPr>
      </w:pPr>
      <w:bookmarkStart w:id="5" w:name="_Toc97212353"/>
      <w:bookmarkEnd w:id="0"/>
      <w:r w:rsidRPr="007C3B2D">
        <w:rPr>
          <w:b/>
          <w:bCs/>
          <w:sz w:val="28"/>
          <w:szCs w:val="28"/>
        </w:rPr>
        <w:t>New online service to track remediation of high</w:t>
      </w:r>
      <w:r w:rsidR="00E3364C" w:rsidRPr="007C3B2D">
        <w:rPr>
          <w:b/>
          <w:bCs/>
          <w:sz w:val="28"/>
          <w:szCs w:val="28"/>
        </w:rPr>
        <w:t>-</w:t>
      </w:r>
      <w:r w:rsidRPr="007C3B2D">
        <w:rPr>
          <w:b/>
          <w:bCs/>
          <w:sz w:val="28"/>
          <w:szCs w:val="28"/>
        </w:rPr>
        <w:t>risk buildings</w:t>
      </w:r>
      <w:bookmarkEnd w:id="5"/>
    </w:p>
    <w:p w14:paraId="55677EAB" w14:textId="6E4AF998" w:rsidR="006632CD" w:rsidRPr="006632CD" w:rsidRDefault="00D57339" w:rsidP="00D87B43">
      <w:pPr>
        <w:jc w:val="both"/>
      </w:pPr>
      <w:r w:rsidRPr="00D57339">
        <w:t>On 20 January 2022</w:t>
      </w:r>
      <w:r w:rsidR="00FE7B32">
        <w:t>,</w:t>
      </w:r>
      <w:r w:rsidRPr="00D57339">
        <w:t xml:space="preserve"> the DLUHC announced that under the new Leaseholder and Resident Service, those living in tower blocks will have access to updates on the status of their building’s application to the government’s Building Safety Fund. This will help leaseholders to understand where their building is in the process. The tailored service is designed to speed up the process of removing unsafe non-ACM cladding from the highest risk buildings, forcing building owners to be more transparent, and exposing those who have failed to take action to make their buildings safe. To access the service</w:t>
      </w:r>
      <w:r w:rsidR="006142BD" w:rsidRPr="006142BD">
        <w:t xml:space="preserve"> </w:t>
      </w:r>
      <w:hyperlink r:id="rId13" w:anchor="building-safety-fund-bsf-leaseholder-and-resident-service" w:history="1">
        <w:r w:rsidR="006142BD" w:rsidRPr="006142BD">
          <w:rPr>
            <w:rStyle w:val="Hyperlink"/>
          </w:rPr>
          <w:t>Remediation of non-ACM buildings - GOV.UK (www.gov.uk)</w:t>
        </w:r>
      </w:hyperlink>
    </w:p>
    <w:p w14:paraId="34FEF6B2" w14:textId="44707A09" w:rsidR="00890E46" w:rsidRPr="007C3B2D" w:rsidRDefault="00D87B43" w:rsidP="00890E46">
      <w:pPr>
        <w:pStyle w:val="Heading1"/>
        <w:numPr>
          <w:ilvl w:val="0"/>
          <w:numId w:val="30"/>
        </w:numPr>
        <w:rPr>
          <w:b/>
          <w:bCs/>
          <w:sz w:val="28"/>
          <w:szCs w:val="28"/>
        </w:rPr>
      </w:pPr>
      <w:bookmarkStart w:id="6" w:name="_Updated_Government_advice"/>
      <w:bookmarkStart w:id="7" w:name="_The_new_"/>
      <w:bookmarkStart w:id="8" w:name="_Current_Government_legislation"/>
      <w:bookmarkStart w:id="9" w:name="_Toc97212354"/>
      <w:bookmarkStart w:id="10" w:name="_Hlk62811283"/>
      <w:bookmarkStart w:id="11" w:name="_Toc68098261"/>
      <w:bookmarkEnd w:id="6"/>
      <w:bookmarkEnd w:id="7"/>
      <w:bookmarkEnd w:id="8"/>
      <w:r w:rsidRPr="007C3B2D">
        <w:rPr>
          <w:b/>
          <w:bCs/>
          <w:sz w:val="28"/>
          <w:szCs w:val="28"/>
        </w:rPr>
        <w:t>Combustible cladding manufacturers</w:t>
      </w:r>
      <w:bookmarkEnd w:id="9"/>
    </w:p>
    <w:p w14:paraId="2A068988" w14:textId="378C40CC" w:rsidR="00D87B43" w:rsidRPr="00D87B43" w:rsidRDefault="00F95CA0" w:rsidP="007029FB">
      <w:pPr>
        <w:jc w:val="both"/>
      </w:pPr>
      <w:r w:rsidRPr="00F95CA0">
        <w:t>On 23 January 2022</w:t>
      </w:r>
      <w:r w:rsidR="007029FB">
        <w:t>,</w:t>
      </w:r>
      <w:r w:rsidRPr="00F95CA0">
        <w:t xml:space="preserve"> Michael Gove, the Secretary of State for Levelling Up, threatened a UK trading ban on manufacturers of combustible cladding and insulation unless they agree by March 2022 to pay to fix dangerous housing. The warning was included in a letter from Mr Gove to the Construction Products Association</w:t>
      </w:r>
      <w:r>
        <w:t xml:space="preserve"> </w:t>
      </w:r>
      <w:hyperlink r:id="rId14" w:history="1">
        <w:r w:rsidRPr="00F95CA0">
          <w:rPr>
            <w:rStyle w:val="Hyperlink"/>
          </w:rPr>
          <w:t>Letter to the Construction Products Association (publishing.service.gov.uk)</w:t>
        </w:r>
      </w:hyperlink>
    </w:p>
    <w:p w14:paraId="68016472" w14:textId="7CC0620F" w:rsidR="000C4159" w:rsidRPr="007C3B2D" w:rsidRDefault="000F3C8D" w:rsidP="007C3B2D">
      <w:pPr>
        <w:pStyle w:val="Heading1"/>
        <w:numPr>
          <w:ilvl w:val="0"/>
          <w:numId w:val="30"/>
        </w:numPr>
        <w:jc w:val="both"/>
        <w:rPr>
          <w:b/>
          <w:bCs/>
          <w:sz w:val="28"/>
          <w:szCs w:val="28"/>
        </w:rPr>
      </w:pPr>
      <w:bookmarkStart w:id="12" w:name="_Toc97212355"/>
      <w:bookmarkStart w:id="13" w:name="_Toc69134507"/>
      <w:r w:rsidRPr="007C3B2D">
        <w:rPr>
          <w:b/>
          <w:bCs/>
          <w:sz w:val="28"/>
          <w:szCs w:val="28"/>
        </w:rPr>
        <w:t>Right to rent checks</w:t>
      </w:r>
      <w:bookmarkEnd w:id="12"/>
    </w:p>
    <w:p w14:paraId="7B7EE5F0" w14:textId="7F329008" w:rsidR="000F3C8D" w:rsidRPr="000F3C8D" w:rsidRDefault="00A53F07" w:rsidP="00A53F07">
      <w:pPr>
        <w:jc w:val="both"/>
      </w:pPr>
      <w:r>
        <w:t>The</w:t>
      </w:r>
      <w:r w:rsidRPr="00A53F07">
        <w:t xml:space="preserve"> Home Office announced</w:t>
      </w:r>
      <w:r w:rsidR="00132823">
        <w:t xml:space="preserve">, </w:t>
      </w:r>
      <w:r>
        <w:t>on 19 January 2022</w:t>
      </w:r>
      <w:r w:rsidR="00132823">
        <w:t xml:space="preserve">, </w:t>
      </w:r>
      <w:r w:rsidRPr="00A53F07">
        <w:t>that new digital identity checking technology which the Home Office says will make it quicker, safer and more convenient for landlords to carry out right to rent checks, will be introduced from 6 April 2022. From that date certified identity service providers (IDSPs) will be able to use Identification Document Validation Technology (IDVT) to conduct right to rent checks on behalf of British and Irish citizens. IDSPs will allow people to verify their identity remotely and prove their eligibility to work or rent, which the Government says will reduce the costs of recruitment and letting processes.</w:t>
      </w:r>
      <w:r w:rsidR="0066589D" w:rsidRPr="0066589D">
        <w:t xml:space="preserve"> </w:t>
      </w:r>
      <w:hyperlink r:id="rId15" w:history="1">
        <w:r w:rsidR="0066589D" w:rsidRPr="0066589D">
          <w:rPr>
            <w:rStyle w:val="Hyperlink"/>
          </w:rPr>
          <w:t>New digital identity checking for landlords and employers to tackle immigration abuse - GOV.UK (www.gov.uk)</w:t>
        </w:r>
      </w:hyperlink>
    </w:p>
    <w:p w14:paraId="23D943BD" w14:textId="61930997" w:rsidR="00CC4EF4" w:rsidRPr="007C3B2D" w:rsidRDefault="006F6484" w:rsidP="00CC4EF4">
      <w:pPr>
        <w:pStyle w:val="Heading1"/>
        <w:numPr>
          <w:ilvl w:val="0"/>
          <w:numId w:val="30"/>
        </w:numPr>
        <w:jc w:val="both"/>
        <w:rPr>
          <w:b/>
          <w:bCs/>
          <w:sz w:val="28"/>
          <w:szCs w:val="28"/>
        </w:rPr>
      </w:pPr>
      <w:bookmarkStart w:id="14" w:name="_Toc97212356"/>
      <w:r w:rsidRPr="007C3B2D">
        <w:rPr>
          <w:b/>
          <w:bCs/>
          <w:sz w:val="28"/>
          <w:szCs w:val="28"/>
        </w:rPr>
        <w:t>Private rental growth measures: January to December 2021</w:t>
      </w:r>
      <w:bookmarkEnd w:id="14"/>
    </w:p>
    <w:p w14:paraId="6F067B23" w14:textId="0D64522A" w:rsidR="00B7309B" w:rsidRDefault="00B7309B" w:rsidP="00B7309B">
      <w:pPr>
        <w:jc w:val="both"/>
      </w:pPr>
      <w:r>
        <w:t>On 20 January 2022</w:t>
      </w:r>
      <w:r w:rsidR="00132823">
        <w:t>,</w:t>
      </w:r>
      <w:r>
        <w:t xml:space="preserve"> the </w:t>
      </w:r>
      <w:r w:rsidR="00BF4EC7">
        <w:t xml:space="preserve">ONS </w:t>
      </w:r>
      <w:r>
        <w:t xml:space="preserve"> published a comparison of growth in the Index of Private Housing Rental Prices (IPHRP) with other measures of private rental growth. The IPHRP for December 2021, published on 19 January 2022, showed that:</w:t>
      </w:r>
    </w:p>
    <w:p w14:paraId="5B9773FB" w14:textId="77777777" w:rsidR="00B7309B" w:rsidRDefault="00B7309B" w:rsidP="006D4FE2">
      <w:pPr>
        <w:pStyle w:val="ListParagraph"/>
        <w:numPr>
          <w:ilvl w:val="0"/>
          <w:numId w:val="36"/>
        </w:numPr>
        <w:jc w:val="both"/>
      </w:pPr>
      <w:r>
        <w:t>Private rental prices paid by tenants in the UK rose by 1.8 per cent in the 12 months to December 2021, up from 1.7 per cent in the 12 months to November 2021.</w:t>
      </w:r>
    </w:p>
    <w:p w14:paraId="5C495938" w14:textId="77777777" w:rsidR="00B7309B" w:rsidRDefault="00B7309B" w:rsidP="006D4FE2">
      <w:pPr>
        <w:pStyle w:val="ListParagraph"/>
        <w:numPr>
          <w:ilvl w:val="0"/>
          <w:numId w:val="36"/>
        </w:numPr>
        <w:jc w:val="both"/>
      </w:pPr>
      <w:r>
        <w:t>Private rental prices grew by 1.8 per cent in England, 1.5 per cent in Wales and 2.3 per cent in Scotland in the 12 months to December 2021.</w:t>
      </w:r>
    </w:p>
    <w:p w14:paraId="04F0AEE9" w14:textId="77777777" w:rsidR="00B7309B" w:rsidRDefault="00B7309B" w:rsidP="006D4FE2">
      <w:pPr>
        <w:pStyle w:val="ListParagraph"/>
        <w:numPr>
          <w:ilvl w:val="0"/>
          <w:numId w:val="36"/>
        </w:numPr>
        <w:jc w:val="both"/>
      </w:pPr>
      <w:r>
        <w:t>The East Midlands saw the highest annual growth in private rental prices (3.3 per cent), while London saw the lowest (negative 0.1 per cent).</w:t>
      </w:r>
    </w:p>
    <w:p w14:paraId="54C5DFD0" w14:textId="57501AAE" w:rsidR="00B96F0A" w:rsidRDefault="00B7309B" w:rsidP="001F0F4C">
      <w:pPr>
        <w:jc w:val="both"/>
      </w:pPr>
      <w:r>
        <w:t>For the IPHRP for December 2021,</w:t>
      </w:r>
      <w:r w:rsidR="00E11A73" w:rsidRPr="00E11A73">
        <w:t xml:space="preserve"> </w:t>
      </w:r>
      <w:hyperlink r:id="rId16" w:history="1">
        <w:r w:rsidR="00E11A73" w:rsidRPr="00E11A73">
          <w:rPr>
            <w:rStyle w:val="Hyperlink"/>
          </w:rPr>
          <w:t>Index of Private Housing Rental Prices, UK - Office for National Statistics (ons.gov.uk)</w:t>
        </w:r>
      </w:hyperlink>
      <w:r>
        <w:t xml:space="preserve"> For the comparison document, </w:t>
      </w:r>
      <w:hyperlink r:id="rId17" w:history="1">
        <w:r w:rsidR="00022F81" w:rsidRPr="00022F81">
          <w:rPr>
            <w:rStyle w:val="Hyperlink"/>
          </w:rPr>
          <w:t>Private rental growth measures, a UK comparison - Office for National Statistics (ons.gov.uk)</w:t>
        </w:r>
      </w:hyperlink>
    </w:p>
    <w:p w14:paraId="26A5BF2F" w14:textId="77777777" w:rsidR="00FF2B52" w:rsidRPr="007C3B2D" w:rsidRDefault="00FF2B52" w:rsidP="007C3B2D">
      <w:pPr>
        <w:pStyle w:val="Heading1"/>
        <w:numPr>
          <w:ilvl w:val="0"/>
          <w:numId w:val="30"/>
        </w:numPr>
        <w:jc w:val="both"/>
        <w:rPr>
          <w:b/>
          <w:bCs/>
          <w:sz w:val="28"/>
          <w:szCs w:val="28"/>
        </w:rPr>
      </w:pPr>
      <w:bookmarkStart w:id="15" w:name="_Toc97212357"/>
      <w:r w:rsidRPr="007C3B2D">
        <w:rPr>
          <w:b/>
          <w:bCs/>
          <w:sz w:val="28"/>
          <w:szCs w:val="28"/>
        </w:rPr>
        <w:lastRenderedPageBreak/>
        <w:t>Regulation of private renting: National Audit Office report</w:t>
      </w:r>
      <w:bookmarkEnd w:id="15"/>
    </w:p>
    <w:p w14:paraId="3FA42692" w14:textId="041068DA" w:rsidR="00FF2B52" w:rsidRPr="00FF2B52" w:rsidRDefault="00FF2B52" w:rsidP="00982DE5">
      <w:pPr>
        <w:jc w:val="both"/>
      </w:pPr>
      <w:r w:rsidRPr="00FF2B52">
        <w:t>On 10 December 2021</w:t>
      </w:r>
      <w:r w:rsidR="00AC656C">
        <w:t>,</w:t>
      </w:r>
      <w:r w:rsidRPr="00FF2B52">
        <w:t xml:space="preserve"> the National Audit Office published a report</w:t>
      </w:r>
      <w:r w:rsidR="004E6DAC">
        <w:t xml:space="preserve"> </w:t>
      </w:r>
      <w:hyperlink r:id="rId18" w:history="1">
        <w:r w:rsidR="00C71284" w:rsidRPr="00C71284">
          <w:rPr>
            <w:color w:val="0000FF"/>
            <w:u w:val="single"/>
          </w:rPr>
          <w:t>Regulation of private renting (nao.org.uk)</w:t>
        </w:r>
      </w:hyperlink>
      <w:r w:rsidRPr="00FF2B52">
        <w:t xml:space="preserve"> on the regulation of private renting in England. The report covers:</w:t>
      </w:r>
    </w:p>
    <w:p w14:paraId="1768873C" w14:textId="77777777" w:rsidR="00FF2B52" w:rsidRPr="00FF2B52" w:rsidRDefault="00FF2B52" w:rsidP="00982DE5">
      <w:pPr>
        <w:pStyle w:val="ListParagraph"/>
        <w:numPr>
          <w:ilvl w:val="0"/>
          <w:numId w:val="33"/>
        </w:numPr>
        <w:jc w:val="both"/>
      </w:pPr>
      <w:r w:rsidRPr="00FF2B52">
        <w:t>the coherence of the DLUHC’s regulatory strategy, and whether this is based on a good understanding of the challenges within the sector;</w:t>
      </w:r>
    </w:p>
    <w:p w14:paraId="2018B442" w14:textId="77777777" w:rsidR="00FF2B52" w:rsidRPr="00FF2B52" w:rsidRDefault="00FF2B52" w:rsidP="00982DE5">
      <w:pPr>
        <w:pStyle w:val="ListParagraph"/>
        <w:numPr>
          <w:ilvl w:val="0"/>
          <w:numId w:val="33"/>
        </w:numPr>
        <w:jc w:val="both"/>
      </w:pPr>
      <w:r w:rsidRPr="00FF2B52">
        <w:t>the extent to which the DLUHC’s oversight of and support for local authority regulation of providers (landlords and lettings agents) contribute to its aims for the sector; and</w:t>
      </w:r>
    </w:p>
    <w:p w14:paraId="6EC808F0" w14:textId="77777777" w:rsidR="00FF2B52" w:rsidRPr="00FF2B52" w:rsidRDefault="00FF2B52" w:rsidP="00982DE5">
      <w:pPr>
        <w:pStyle w:val="ListParagraph"/>
        <w:numPr>
          <w:ilvl w:val="0"/>
          <w:numId w:val="33"/>
        </w:numPr>
        <w:jc w:val="both"/>
      </w:pPr>
      <w:r w:rsidRPr="00FF2B52">
        <w:t>whether tenants are adequately supported to resolve problems and ensure they get a fair deal.</w:t>
      </w:r>
    </w:p>
    <w:p w14:paraId="308876A1" w14:textId="77777777" w:rsidR="00A34676" w:rsidRDefault="00FF2B52" w:rsidP="00982DE5">
      <w:pPr>
        <w:jc w:val="both"/>
      </w:pPr>
      <w:r w:rsidRPr="00FF2B52">
        <w:t>The report finds that there is evidence that a concerning proportion of private renters live in unsafe or insecure conditions with limited ability to exercise their rights. The DLUHC has made various regulatory changes aimed at improving experiences for renters, including banning letting fees and introducing temporary protections during the Covid-19 pandemic. However, the way that private renting is regulated means that these changes are not effective in ensuring the sector is consistently fair for renters.</w:t>
      </w:r>
    </w:p>
    <w:p w14:paraId="3914A56D" w14:textId="64882AE9" w:rsidR="003C0DFF" w:rsidRPr="00455DCF" w:rsidRDefault="0002029D" w:rsidP="003C0DFF">
      <w:pPr>
        <w:pStyle w:val="Heading1"/>
        <w:numPr>
          <w:ilvl w:val="0"/>
          <w:numId w:val="30"/>
        </w:numPr>
        <w:rPr>
          <w:b/>
          <w:bCs/>
          <w:sz w:val="28"/>
          <w:szCs w:val="28"/>
        </w:rPr>
      </w:pPr>
      <w:r w:rsidRPr="00455DCF">
        <w:rPr>
          <w:b/>
          <w:bCs/>
          <w:sz w:val="28"/>
          <w:szCs w:val="28"/>
        </w:rPr>
        <w:t xml:space="preserve">  </w:t>
      </w:r>
      <w:bookmarkStart w:id="16" w:name="_Toc97212358"/>
      <w:r w:rsidR="00EC5F3D" w:rsidRPr="00455DCF">
        <w:rPr>
          <w:b/>
          <w:bCs/>
          <w:sz w:val="28"/>
          <w:szCs w:val="28"/>
        </w:rPr>
        <w:t>Universal Credit and rent</w:t>
      </w:r>
      <w:bookmarkEnd w:id="16"/>
    </w:p>
    <w:p w14:paraId="6CB4BCA4" w14:textId="7BC39CF0" w:rsidR="00EC5F3D" w:rsidRPr="00EC5F3D" w:rsidRDefault="004F627A" w:rsidP="004F627A">
      <w:pPr>
        <w:jc w:val="both"/>
      </w:pPr>
      <w:r>
        <w:t xml:space="preserve">The </w:t>
      </w:r>
      <w:r w:rsidRPr="004F627A">
        <w:t>National Residential Landlords Association reported</w:t>
      </w:r>
      <w:r>
        <w:t xml:space="preserve"> on 20 January 2022,</w:t>
      </w:r>
      <w:r w:rsidRPr="004F627A">
        <w:t xml:space="preserve"> the results of a YouGov poll of private landlords across England and Wales that found that almost one in ten private landlords (9 per cent) renting to Universal Credit claimants have experienced at least one tenant having difficulties paying their rent due to benefit cuts. The NRLA </w:t>
      </w:r>
      <w:r w:rsidR="002B3B43">
        <w:t xml:space="preserve">has warned </w:t>
      </w:r>
      <w:r w:rsidRPr="004F627A">
        <w:t xml:space="preserve"> that this will only become worse as a result of the </w:t>
      </w:r>
      <w:r w:rsidR="00F9384D">
        <w:t>g</w:t>
      </w:r>
      <w:r w:rsidRPr="004F627A">
        <w:t>overnment’s decision last year to freeze in cash terms housing cost support. As a result, in the years ahead the level of benefit support available will be able to cover the rent on ever fewer numbers of properties</w:t>
      </w:r>
      <w:r>
        <w:t xml:space="preserve">: </w:t>
      </w:r>
      <w:hyperlink r:id="rId19" w:history="1">
        <w:r w:rsidR="00F82F43" w:rsidRPr="00F82F43">
          <w:rPr>
            <w:rStyle w:val="Hyperlink"/>
          </w:rPr>
          <w:t>Poll reveals damage of benefit cuts to renters | NRLA</w:t>
        </w:r>
      </w:hyperlink>
    </w:p>
    <w:p w14:paraId="4A4669C2" w14:textId="0EFADDD6" w:rsidR="00F720F3" w:rsidRPr="00455DCF" w:rsidRDefault="00984B4C" w:rsidP="00455DCF">
      <w:pPr>
        <w:pStyle w:val="Heading1"/>
        <w:numPr>
          <w:ilvl w:val="0"/>
          <w:numId w:val="30"/>
        </w:numPr>
        <w:jc w:val="both"/>
        <w:rPr>
          <w:b/>
          <w:bCs/>
          <w:sz w:val="28"/>
          <w:szCs w:val="28"/>
        </w:rPr>
      </w:pPr>
      <w:r w:rsidRPr="00455DCF">
        <w:rPr>
          <w:b/>
          <w:bCs/>
          <w:sz w:val="28"/>
          <w:szCs w:val="28"/>
        </w:rPr>
        <w:t xml:space="preserve"> </w:t>
      </w:r>
      <w:r w:rsidR="001E053E" w:rsidRPr="00455DCF">
        <w:rPr>
          <w:b/>
          <w:bCs/>
          <w:sz w:val="28"/>
          <w:szCs w:val="28"/>
        </w:rPr>
        <w:t xml:space="preserve"> </w:t>
      </w:r>
      <w:bookmarkStart w:id="17" w:name="_Toc97212359"/>
      <w:r w:rsidR="00A33C2D" w:rsidRPr="00455DCF">
        <w:rPr>
          <w:b/>
          <w:bCs/>
          <w:sz w:val="28"/>
          <w:szCs w:val="28"/>
        </w:rPr>
        <w:t>Buildings insurance for multiple-occupancy residential buildings</w:t>
      </w:r>
      <w:bookmarkEnd w:id="17"/>
    </w:p>
    <w:p w14:paraId="491D06BA" w14:textId="11CFB19A" w:rsidR="00A33C2D" w:rsidRPr="00A33C2D" w:rsidRDefault="00FD6E82" w:rsidP="00CB25C5">
      <w:pPr>
        <w:jc w:val="both"/>
      </w:pPr>
      <w:r>
        <w:t>T</w:t>
      </w:r>
      <w:r w:rsidRPr="00FD6E82">
        <w:t xml:space="preserve">he Secretary of State for Levelling Up, Housing and Communities, published a letter </w:t>
      </w:r>
      <w:r>
        <w:t xml:space="preserve">on 28 January 2022 </w:t>
      </w:r>
      <w:r w:rsidRPr="00FD6E82">
        <w:t>to the Financial Conduct Authority (FCA) and Competition and Markets Authority (CMA) requesting a review into the buildings insurance market for multiple-occupancy residential buildings.</w:t>
      </w:r>
      <w:r w:rsidR="001133B2" w:rsidRPr="001133B2">
        <w:t xml:space="preserve"> </w:t>
      </w:r>
      <w:hyperlink r:id="rId20" w:history="1">
        <w:r w:rsidR="001133B2" w:rsidRPr="001133B2">
          <w:rPr>
            <w:color w:val="0000FF"/>
            <w:u w:val="single"/>
          </w:rPr>
          <w:t>Letter from the Secretary of State for Levelling Up, Housing and Communities to the FCA and CMA. (publishing.service.gov.uk)</w:t>
        </w:r>
      </w:hyperlink>
    </w:p>
    <w:p w14:paraId="429FB7EB" w14:textId="375A0B67" w:rsidR="00C05F82" w:rsidRPr="00455DCF" w:rsidRDefault="00F14764" w:rsidP="000153AC">
      <w:pPr>
        <w:pStyle w:val="Heading1"/>
        <w:numPr>
          <w:ilvl w:val="0"/>
          <w:numId w:val="30"/>
        </w:numPr>
        <w:rPr>
          <w:b/>
          <w:bCs/>
          <w:sz w:val="28"/>
          <w:szCs w:val="28"/>
        </w:rPr>
      </w:pPr>
      <w:bookmarkStart w:id="18" w:name="_Toc97212360"/>
      <w:r w:rsidRPr="00455DCF">
        <w:rPr>
          <w:b/>
          <w:bCs/>
          <w:sz w:val="28"/>
          <w:szCs w:val="28"/>
        </w:rPr>
        <w:t>Waking Watch Replacement Fund opens for applications</w:t>
      </w:r>
      <w:bookmarkEnd w:id="18"/>
    </w:p>
    <w:p w14:paraId="14742F89" w14:textId="16910182" w:rsidR="00F14764" w:rsidRPr="00F14764" w:rsidRDefault="00BD4464" w:rsidP="00CB25C5">
      <w:pPr>
        <w:jc w:val="both"/>
      </w:pPr>
      <w:r w:rsidRPr="00BD4464">
        <w:t>On 27 January 2022</w:t>
      </w:r>
      <w:r w:rsidR="00455DCF">
        <w:t>,</w:t>
      </w:r>
      <w:r w:rsidRPr="00BD4464">
        <w:t xml:space="preserve"> the DLUHC announced additional £27 million to install fire alarms in all buildings where a Waking Watch is in place. The funding will be available for buildings of all heights, rather than just being limited to those over 18 metres. It is hoped that this will help end the misuse of Waking Watch and encourage the installation in an estimated 300 additional buildings of fire alarms, which are proven to be both more effective and cheaper in the long term. </w:t>
      </w:r>
      <w:hyperlink r:id="rId21" w:history="1">
        <w:r w:rsidRPr="00BD4464">
          <w:rPr>
            <w:rStyle w:val="Hyperlink"/>
          </w:rPr>
          <w:t>Waking Watch Replacement Fund Application Form (Page 1 of 7) (office.com)</w:t>
        </w:r>
      </w:hyperlink>
    </w:p>
    <w:p w14:paraId="4FC04038" w14:textId="77777777" w:rsidR="00C05F82" w:rsidRPr="00F51083" w:rsidRDefault="00C05F82" w:rsidP="00C05F82">
      <w:pPr>
        <w:spacing w:after="0" w:line="240" w:lineRule="auto"/>
        <w:rPr>
          <w:rFonts w:ascii="Times New Roman" w:eastAsia="Times New Roman" w:hAnsi="Times New Roman" w:cs="Times New Roman"/>
          <w:vanish/>
          <w:sz w:val="24"/>
          <w:szCs w:val="24"/>
          <w:lang w:eastAsia="en-GB"/>
        </w:rPr>
      </w:pPr>
      <w:bookmarkStart w:id="19" w:name="HOUSINGLAWSINTHEPIPELINE"/>
      <w:bookmarkEnd w:id="19"/>
    </w:p>
    <w:p w14:paraId="46943B60" w14:textId="532075ED" w:rsidR="00907C1E" w:rsidRPr="00455DCF" w:rsidRDefault="00C05F82" w:rsidP="00455DCF">
      <w:pPr>
        <w:pStyle w:val="Heading1"/>
        <w:numPr>
          <w:ilvl w:val="0"/>
          <w:numId w:val="30"/>
        </w:numPr>
        <w:jc w:val="both"/>
        <w:rPr>
          <w:b/>
          <w:bCs/>
          <w:sz w:val="28"/>
          <w:szCs w:val="28"/>
        </w:rPr>
      </w:pPr>
      <w:r w:rsidRPr="00F51083">
        <w:rPr>
          <w:sz w:val="28"/>
          <w:szCs w:val="28"/>
        </w:rPr>
        <w:t xml:space="preserve"> </w:t>
      </w:r>
      <w:bookmarkStart w:id="20" w:name="_Toc97212361"/>
      <w:r w:rsidR="00EF294D" w:rsidRPr="00455DCF">
        <w:rPr>
          <w:b/>
          <w:bCs/>
          <w:sz w:val="28"/>
          <w:szCs w:val="28"/>
        </w:rPr>
        <w:t>Estimates of dwellings and households by tenure 2020 – England</w:t>
      </w:r>
      <w:bookmarkEnd w:id="20"/>
    </w:p>
    <w:p w14:paraId="608832C7" w14:textId="1F691D3D" w:rsidR="001B1056" w:rsidRDefault="001B1056" w:rsidP="001B1056">
      <w:pPr>
        <w:jc w:val="both"/>
      </w:pPr>
      <w:r>
        <w:t>On 31 January 2022</w:t>
      </w:r>
      <w:r w:rsidR="00F9384D">
        <w:t>,</w:t>
      </w:r>
      <w:r>
        <w:t xml:space="preserve"> the </w:t>
      </w:r>
      <w:r w:rsidR="00F9384D">
        <w:t>ONS</w:t>
      </w:r>
      <w:r>
        <w:t xml:space="preserve"> published estimates which provide the breakdown of dwellings and households by tenure, for local authority districts in England in 2020. The key points are:</w:t>
      </w:r>
    </w:p>
    <w:p w14:paraId="789CBDDC" w14:textId="77777777" w:rsidR="001B1056" w:rsidRDefault="001B1056" w:rsidP="00CB25C5">
      <w:pPr>
        <w:pStyle w:val="NoSpacing"/>
        <w:numPr>
          <w:ilvl w:val="0"/>
          <w:numId w:val="37"/>
        </w:numPr>
        <w:jc w:val="both"/>
      </w:pPr>
      <w:r>
        <w:lastRenderedPageBreak/>
        <w:t>Across local authority areas in England there was an increase of 1.6 million dwellings owned outright between 2012 and 2020, but a decrease of 0.6 million dwellings owned with a mortgage.</w:t>
      </w:r>
    </w:p>
    <w:p w14:paraId="302C9FED" w14:textId="77777777" w:rsidR="001B1056" w:rsidRDefault="001B1056" w:rsidP="00CB25C5">
      <w:pPr>
        <w:pStyle w:val="NoSpacing"/>
        <w:numPr>
          <w:ilvl w:val="0"/>
          <w:numId w:val="37"/>
        </w:numPr>
        <w:jc w:val="both"/>
      </w:pPr>
      <w:r>
        <w:t>All local authorities contained more dwellings owned outright in 2020 than in 2012; 99 per cent of local authorities contained more privately rented dwellings, and three-quarters (74 per cent) more social-rented dwellings.</w:t>
      </w:r>
    </w:p>
    <w:p w14:paraId="1F58EB3A" w14:textId="7296FF5C" w:rsidR="00EF294D" w:rsidRDefault="001B1056" w:rsidP="00CB25C5">
      <w:pPr>
        <w:pStyle w:val="NoSpacing"/>
        <w:numPr>
          <w:ilvl w:val="0"/>
          <w:numId w:val="37"/>
        </w:numPr>
        <w:jc w:val="both"/>
      </w:pPr>
      <w:r>
        <w:t>There is a wide variation in tenures within local authorities across England, with local authority areas on the outskirts of towns and cities showing different patterns from those in more urban areas.</w:t>
      </w:r>
    </w:p>
    <w:p w14:paraId="25CF673B" w14:textId="77777777" w:rsidR="001B1056" w:rsidRDefault="001B1056" w:rsidP="001B1056">
      <w:pPr>
        <w:pStyle w:val="NoSpacing"/>
      </w:pPr>
    </w:p>
    <w:p w14:paraId="395E9D61" w14:textId="7F4A766C" w:rsidR="00EF294D" w:rsidRPr="00EF294D" w:rsidRDefault="009C36B0" w:rsidP="00EF294D">
      <w:hyperlink r:id="rId22" w:history="1">
        <w:r w:rsidR="00F25EA7" w:rsidRPr="00F25EA7">
          <w:rPr>
            <w:rStyle w:val="Hyperlink"/>
          </w:rPr>
          <w:t>Subnational estimates of dwellings and households by tenure, England - Office for National Statistics (ons.gov.uk)</w:t>
        </w:r>
      </w:hyperlink>
    </w:p>
    <w:p w14:paraId="3889F5CA" w14:textId="00FF4FF7" w:rsidR="00BD4464" w:rsidRPr="00455DCF" w:rsidRDefault="00B22532" w:rsidP="00B22532">
      <w:pPr>
        <w:pStyle w:val="Heading1"/>
        <w:numPr>
          <w:ilvl w:val="0"/>
          <w:numId w:val="30"/>
        </w:numPr>
        <w:rPr>
          <w:b/>
          <w:bCs/>
          <w:sz w:val="28"/>
          <w:szCs w:val="28"/>
        </w:rPr>
      </w:pPr>
      <w:r w:rsidRPr="00455DCF">
        <w:rPr>
          <w:b/>
          <w:bCs/>
          <w:sz w:val="28"/>
          <w:szCs w:val="28"/>
        </w:rPr>
        <w:t xml:space="preserve"> </w:t>
      </w:r>
      <w:bookmarkStart w:id="21" w:name="_Toc97212362"/>
      <w:r w:rsidRPr="00455DCF">
        <w:rPr>
          <w:b/>
          <w:bCs/>
          <w:sz w:val="28"/>
          <w:szCs w:val="28"/>
        </w:rPr>
        <w:t>Levelling up white paper published</w:t>
      </w:r>
      <w:bookmarkEnd w:id="21"/>
    </w:p>
    <w:p w14:paraId="150E34FF" w14:textId="53F394C5" w:rsidR="005F5461" w:rsidRDefault="005F5461" w:rsidP="005F5461">
      <w:pPr>
        <w:jc w:val="both"/>
      </w:pPr>
      <w:r>
        <w:t>On 2 February 2022</w:t>
      </w:r>
      <w:r w:rsidR="00455DCF">
        <w:t>,</w:t>
      </w:r>
      <w:r>
        <w:t xml:space="preserve"> the DLUHC published its white paper on levelling up</w:t>
      </w:r>
      <w:r w:rsidR="004033FD">
        <w:t>:</w:t>
      </w:r>
      <w:r w:rsidR="004033FD" w:rsidRPr="004033FD">
        <w:t xml:space="preserve"> </w:t>
      </w:r>
      <w:hyperlink r:id="rId23" w:history="1">
        <w:r w:rsidR="004033FD" w:rsidRPr="004033FD">
          <w:rPr>
            <w:rStyle w:val="Hyperlink"/>
          </w:rPr>
          <w:t>Levelling Up the United Kingdom - GOV.UK (www.gov.uk)</w:t>
        </w:r>
      </w:hyperlink>
      <w:r w:rsidR="004033FD">
        <w:t xml:space="preserve">. </w:t>
      </w:r>
      <w:r>
        <w:t xml:space="preserve"> In respect of housing, the government said:</w:t>
      </w:r>
    </w:p>
    <w:p w14:paraId="5CBA15FD" w14:textId="0C15D4FA" w:rsidR="005F5461" w:rsidRDefault="005F5461" w:rsidP="005F5461">
      <w:pPr>
        <w:pStyle w:val="ListParagraph"/>
        <w:numPr>
          <w:ilvl w:val="0"/>
          <w:numId w:val="39"/>
        </w:numPr>
        <w:jc w:val="both"/>
      </w:pPr>
      <w:r>
        <w:t>The ‘80/20 rule’ which leads to 80 per cent of government funding for housing supply being directed at ‘maximum affordability areas’ – in practice, London and the South</w:t>
      </w:r>
      <w:r w:rsidR="00CB25C5">
        <w:t>-</w:t>
      </w:r>
      <w:r>
        <w:t>East – will be scrapped, with much of the £1.8 billion brownfield funding instead being diverted to transforming brownfield sites in the North and Midlands. The Metro Mayors will be allocated £120 million of this funding.</w:t>
      </w:r>
    </w:p>
    <w:p w14:paraId="69EA7801" w14:textId="381D69C9" w:rsidR="005F5461" w:rsidRDefault="005F5461" w:rsidP="005F5461">
      <w:pPr>
        <w:pStyle w:val="ListParagraph"/>
        <w:numPr>
          <w:ilvl w:val="0"/>
          <w:numId w:val="39"/>
        </w:numPr>
        <w:jc w:val="both"/>
      </w:pPr>
      <w:r>
        <w:t xml:space="preserve">The government will announce a plan that all homes in the Private Rented Sector will have to meet a minimum standard – the Decent Homes Standard. Section 21 ‘no fault’ evictions will further be abolished, ending the unfair situation where renters can be removed from their homes for no reason. The government will consult on introducing a landlords </w:t>
      </w:r>
      <w:r w:rsidR="00CB25C5">
        <w:t>register and</w:t>
      </w:r>
      <w:r>
        <w:t xml:space="preserve"> will set out plans for a crackdown on rogue landlords, making sure fines and bans stop repeat offenders leaving renters in terrible conditions.</w:t>
      </w:r>
    </w:p>
    <w:p w14:paraId="630AAA2F" w14:textId="77777777" w:rsidR="005F5461" w:rsidRDefault="005F5461" w:rsidP="005F5461">
      <w:pPr>
        <w:pStyle w:val="ListParagraph"/>
        <w:numPr>
          <w:ilvl w:val="0"/>
          <w:numId w:val="39"/>
        </w:numPr>
        <w:jc w:val="both"/>
      </w:pPr>
      <w:r>
        <w:t>Home ownership will be boosted due to a new £1.5 billion Levelling Up Home Building Fund being launched, which will provide loans to SMEs and support the UK government’s wider regeneration agenda in areas that are a priority for levelling up.</w:t>
      </w:r>
    </w:p>
    <w:p w14:paraId="42D8AB42" w14:textId="33FE314A" w:rsidR="00C05F82" w:rsidRDefault="005F5461" w:rsidP="005F5461">
      <w:pPr>
        <w:pStyle w:val="ListParagraph"/>
        <w:numPr>
          <w:ilvl w:val="0"/>
          <w:numId w:val="39"/>
        </w:numPr>
        <w:jc w:val="both"/>
      </w:pPr>
      <w:r>
        <w:t>The government will further commit to building more genuinely affordable social housing. A new Social Housing Regulation Bill will deliver upon the commitments the government made following the Grenfell tragedy in 2017.</w:t>
      </w:r>
    </w:p>
    <w:p w14:paraId="39B5BA93" w14:textId="753A1E66" w:rsidR="00F51083" w:rsidRPr="00455DCF" w:rsidRDefault="00993F31" w:rsidP="00F51083">
      <w:pPr>
        <w:pStyle w:val="Heading1"/>
        <w:numPr>
          <w:ilvl w:val="0"/>
          <w:numId w:val="30"/>
        </w:numPr>
        <w:rPr>
          <w:b/>
          <w:bCs/>
          <w:sz w:val="28"/>
          <w:szCs w:val="28"/>
        </w:rPr>
      </w:pPr>
      <w:r>
        <w:rPr>
          <w:sz w:val="28"/>
          <w:szCs w:val="28"/>
        </w:rPr>
        <w:t xml:space="preserve"> </w:t>
      </w:r>
      <w:bookmarkStart w:id="22" w:name="_Toc97212363"/>
      <w:r w:rsidR="00F51083" w:rsidRPr="00455DCF">
        <w:rPr>
          <w:b/>
          <w:bCs/>
          <w:sz w:val="28"/>
          <w:szCs w:val="28"/>
        </w:rPr>
        <w:t>Landlord possession statistics – England and Wales</w:t>
      </w:r>
      <w:bookmarkEnd w:id="22"/>
    </w:p>
    <w:p w14:paraId="0BB94722" w14:textId="6711E803" w:rsidR="00F51083" w:rsidRDefault="00AE0DCF" w:rsidP="00AE0DCF">
      <w:pPr>
        <w:jc w:val="both"/>
      </w:pPr>
      <w:r w:rsidRPr="00AE0DCF">
        <w:t>On 10 February 2022</w:t>
      </w:r>
      <w:r w:rsidR="00D75EC8">
        <w:t>,</w:t>
      </w:r>
      <w:r w:rsidRPr="00AE0DCF">
        <w:t xml:space="preserve"> the Ministry of Justice published quarterly national statistics on possession claim actions in county courts by mortgage lenders and social and private landlords. The statistics cover the period from October to December 2021. When compared to the same quarter in 2019, landlord possession claims, orders, warrants and repossessions by county court bailiffs decreased by 43, 67, 67 and 64 per cent respectively. However, when compared to the same quarter in 2020, over 100 per cent increases were recorded across all actions, except for claims issued which rose 72 per cent. Possession claims rose from 8,382 to 14,433, orders from 2,195 to 6,849, warrants from 1,792 to 4,256 and repossessions from 548 to 2,706. </w:t>
      </w:r>
      <w:r w:rsidR="00F62EAD">
        <w:t xml:space="preserve">These </w:t>
      </w:r>
      <w:r w:rsidRPr="00AE0DCF">
        <w:t xml:space="preserve"> statistics (combined with those for mortgage possession)</w:t>
      </w:r>
      <w:r w:rsidR="00F62EAD">
        <w:t xml:space="preserve"> can be found here: </w:t>
      </w:r>
      <w:hyperlink r:id="rId24" w:history="1">
        <w:r w:rsidR="000B7165" w:rsidRPr="000B7165">
          <w:rPr>
            <w:rStyle w:val="Hyperlink"/>
          </w:rPr>
          <w:t>Mortgage and landlord possession statistics: October to December 2021 - GOV.UK (www.gov.uk)</w:t>
        </w:r>
      </w:hyperlink>
    </w:p>
    <w:p w14:paraId="6C810954" w14:textId="54D81252" w:rsidR="0045032D" w:rsidRPr="00455DCF" w:rsidRDefault="00CB3B6C" w:rsidP="00455DCF">
      <w:pPr>
        <w:pStyle w:val="Heading1"/>
        <w:numPr>
          <w:ilvl w:val="0"/>
          <w:numId w:val="30"/>
        </w:numPr>
        <w:rPr>
          <w:b/>
          <w:bCs/>
          <w:sz w:val="28"/>
          <w:szCs w:val="28"/>
        </w:rPr>
      </w:pPr>
      <w:bookmarkStart w:id="23" w:name="_Toc97212364"/>
      <w:r w:rsidRPr="00455DCF">
        <w:rPr>
          <w:b/>
          <w:bCs/>
          <w:sz w:val="28"/>
          <w:szCs w:val="28"/>
        </w:rPr>
        <w:lastRenderedPageBreak/>
        <w:t>Homelessness: councils warn of ‘tidal wave</w:t>
      </w:r>
      <w:bookmarkEnd w:id="23"/>
    </w:p>
    <w:p w14:paraId="738C9FD4" w14:textId="422C17C7" w:rsidR="00CB3B6C" w:rsidRDefault="00FB5D77" w:rsidP="00FB5D77">
      <w:pPr>
        <w:jc w:val="both"/>
      </w:pPr>
      <w:r>
        <w:t xml:space="preserve">On 22 February 2022, </w:t>
      </w:r>
      <w:r w:rsidRPr="00FB5D77">
        <w:t>Crisis reported findings from the Homelessness Monitor: England 2022, commissioned by the charity and led by Heriot-Watt University. The report found that of 155 councils surveyed across England, nearly all (97 per cent) say the end of the eviction ban will lead to an increase in homelessness, while 80 per cent say the recent £20 cut to universal credit will contribute to rising homelessness. The overwhelming majority also warn that other financial policies such as the freeze on Local Housing Allowance (LHA) rates (77 per cent) and the benefit cap (71 per cent) are likely to cause an increase in homelessness in their areas.</w:t>
      </w:r>
      <w:r w:rsidR="00475FA2" w:rsidRPr="00475FA2">
        <w:t xml:space="preserve"> </w:t>
      </w:r>
      <w:hyperlink r:id="rId25" w:history="1">
        <w:r w:rsidR="00475FA2" w:rsidRPr="00475FA2">
          <w:rPr>
            <w:rStyle w:val="Hyperlink"/>
          </w:rPr>
          <w:t>‘We are expecting a tidal wave’ - councils warn of rising homelessness as financial pandemic protections are pulled back | Crisis | Together we will end homelessness</w:t>
        </w:r>
      </w:hyperlink>
    </w:p>
    <w:p w14:paraId="30990C74" w14:textId="41A2501C" w:rsidR="009B62CB" w:rsidRDefault="009B62CB" w:rsidP="00455DCF">
      <w:pPr>
        <w:pStyle w:val="Heading1"/>
        <w:numPr>
          <w:ilvl w:val="0"/>
          <w:numId w:val="30"/>
        </w:numPr>
        <w:jc w:val="both"/>
        <w:rPr>
          <w:sz w:val="28"/>
          <w:szCs w:val="28"/>
        </w:rPr>
      </w:pPr>
      <w:bookmarkStart w:id="24" w:name="_Toc97212365"/>
      <w:r w:rsidRPr="009B62CB">
        <w:rPr>
          <w:b/>
          <w:bCs/>
          <w:sz w:val="28"/>
          <w:szCs w:val="28"/>
        </w:rPr>
        <w:t>Rough sleeping snapshot in England: autumn 2021</w:t>
      </w:r>
      <w:bookmarkEnd w:id="24"/>
    </w:p>
    <w:p w14:paraId="7E986594" w14:textId="4BDECEDF" w:rsidR="00141B6C" w:rsidRDefault="00141B6C" w:rsidP="00961BFF">
      <w:pPr>
        <w:jc w:val="both"/>
      </w:pPr>
      <w:r>
        <w:t>The DLUHC published a statistical release about the annual single night snapshot of the number of people sleeping rough in local authorities across England.</w:t>
      </w:r>
      <w:r w:rsidR="00821D67" w:rsidRPr="00821D67">
        <w:t xml:space="preserve"> </w:t>
      </w:r>
      <w:hyperlink r:id="rId26" w:history="1">
        <w:r w:rsidR="00821D67" w:rsidRPr="00821D67">
          <w:rPr>
            <w:rStyle w:val="Hyperlink"/>
          </w:rPr>
          <w:t>Rough sleeping snapshot in England: autumn 2021 - GOV.UK (www.gov.uk)</w:t>
        </w:r>
      </w:hyperlink>
    </w:p>
    <w:p w14:paraId="7A622210" w14:textId="3A58E00F" w:rsidR="00141B6C" w:rsidRDefault="00141B6C" w:rsidP="00141B6C">
      <w:r>
        <w:t xml:space="preserve"> The main findings are:</w:t>
      </w:r>
    </w:p>
    <w:p w14:paraId="1DBFCFEE" w14:textId="77777777" w:rsidR="00141B6C" w:rsidRDefault="00141B6C" w:rsidP="00141B6C">
      <w:pPr>
        <w:pStyle w:val="ListParagraph"/>
        <w:numPr>
          <w:ilvl w:val="0"/>
          <w:numId w:val="40"/>
        </w:numPr>
        <w:jc w:val="both"/>
      </w:pPr>
      <w:r>
        <w:t>The number of people estimated to be sleeping rough on a single night in autumn has fallen for the fourth year in a row from its peak in 2017. At the same time, the number of people estimated to be currently in emergency accommodation has fallen by over half on the same period last year.</w:t>
      </w:r>
    </w:p>
    <w:p w14:paraId="6298AAEF" w14:textId="77777777" w:rsidR="00141B6C" w:rsidRDefault="00141B6C" w:rsidP="00141B6C">
      <w:pPr>
        <w:pStyle w:val="ListParagraph"/>
        <w:numPr>
          <w:ilvl w:val="0"/>
          <w:numId w:val="40"/>
        </w:numPr>
        <w:jc w:val="both"/>
      </w:pPr>
      <w:r>
        <w:t>The snapshot overall remains higher than 2010 when the snapshot approach was introduced.</w:t>
      </w:r>
    </w:p>
    <w:p w14:paraId="15E28BFC" w14:textId="77777777" w:rsidR="00141B6C" w:rsidRDefault="00141B6C" w:rsidP="00141B6C">
      <w:pPr>
        <w:pStyle w:val="ListParagraph"/>
        <w:numPr>
          <w:ilvl w:val="0"/>
          <w:numId w:val="40"/>
        </w:numPr>
        <w:jc w:val="both"/>
      </w:pPr>
      <w:r>
        <w:t>There were 2,440 people estimated to be sleeping rough on a single night in autumn 2021. This is down by 250 people or 9 per cent from last year and down 49 per cent from the peak in 2017 but is up by 670 people or 38 per cent since 2010. At the same time, the number of people estimated to be in emergency and short-term accommodation in November is down 5,490 people or 56 per cent from the same period last year.</w:t>
      </w:r>
    </w:p>
    <w:p w14:paraId="2F21115F" w14:textId="77777777" w:rsidR="00141B6C" w:rsidRDefault="00141B6C" w:rsidP="00141B6C">
      <w:pPr>
        <w:pStyle w:val="ListParagraph"/>
        <w:numPr>
          <w:ilvl w:val="0"/>
          <w:numId w:val="40"/>
        </w:numPr>
        <w:jc w:val="both"/>
      </w:pPr>
      <w:r>
        <w:t>Rough sleeping decreased in every region of England compared to the previous year. The largest decrease in the number of people estimated to be sleeping rough was in London, where there were 640 people this year compared to 710 people last year. This is down by 70 people or 10 per cent from last year.</w:t>
      </w:r>
    </w:p>
    <w:p w14:paraId="22A446A6" w14:textId="5B70243A" w:rsidR="00141B6C" w:rsidRDefault="00141B6C" w:rsidP="00141B6C">
      <w:pPr>
        <w:pStyle w:val="ListParagraph"/>
        <w:numPr>
          <w:ilvl w:val="0"/>
          <w:numId w:val="40"/>
        </w:numPr>
        <w:jc w:val="both"/>
      </w:pPr>
      <w:r>
        <w:t>Nearly half (45 per cent) of all people sleeping rough on a single night in autumn were in London and the South</w:t>
      </w:r>
      <w:r w:rsidR="00CB25C5">
        <w:t>-</w:t>
      </w:r>
      <w:r>
        <w:t xml:space="preserve"> East.</w:t>
      </w:r>
    </w:p>
    <w:p w14:paraId="13371FAE" w14:textId="77777777" w:rsidR="00141B6C" w:rsidRDefault="00141B6C" w:rsidP="00141B6C">
      <w:pPr>
        <w:pStyle w:val="ListParagraph"/>
        <w:numPr>
          <w:ilvl w:val="0"/>
          <w:numId w:val="40"/>
        </w:numPr>
        <w:jc w:val="both"/>
      </w:pPr>
      <w:r>
        <w:t>Most people sleeping rough in England were male, aged over 26 years old and from the UK. This is similar to previous years.</w:t>
      </w:r>
    </w:p>
    <w:p w14:paraId="44C713BA" w14:textId="77777777" w:rsidR="00141B6C" w:rsidRDefault="00141B6C" w:rsidP="00141B6C">
      <w:pPr>
        <w:pStyle w:val="ListParagraph"/>
        <w:numPr>
          <w:ilvl w:val="0"/>
          <w:numId w:val="40"/>
        </w:numPr>
        <w:jc w:val="both"/>
      </w:pPr>
      <w:r>
        <w:t>Unlike last year, this year’s rough sleeping snapshot did not coincide with significant Covid-19 related restrictions which may have impacted people’s risk of rough sleeping.</w:t>
      </w:r>
    </w:p>
    <w:p w14:paraId="3DA478EF" w14:textId="11474E0C" w:rsidR="009B62CB" w:rsidRDefault="006F0414" w:rsidP="00455DCF">
      <w:pPr>
        <w:pStyle w:val="Heading1"/>
        <w:numPr>
          <w:ilvl w:val="0"/>
          <w:numId w:val="30"/>
        </w:numPr>
        <w:jc w:val="both"/>
        <w:rPr>
          <w:sz w:val="28"/>
          <w:szCs w:val="28"/>
        </w:rPr>
      </w:pPr>
      <w:bookmarkStart w:id="25" w:name="_Toc97212366"/>
      <w:r w:rsidRPr="006F0414">
        <w:rPr>
          <w:b/>
          <w:bCs/>
          <w:sz w:val="28"/>
          <w:szCs w:val="28"/>
        </w:rPr>
        <w:t>Social Housing Reform in England: What Next?</w:t>
      </w:r>
      <w:bookmarkEnd w:id="25"/>
    </w:p>
    <w:p w14:paraId="7789E890" w14:textId="6C200C01" w:rsidR="006F0414" w:rsidRDefault="00183260" w:rsidP="0090176E">
      <w:pPr>
        <w:jc w:val="both"/>
      </w:pPr>
      <w:r>
        <w:t xml:space="preserve">The </w:t>
      </w:r>
      <w:r w:rsidRPr="00183260">
        <w:t xml:space="preserve">House of Commons Library published a briefing paper </w:t>
      </w:r>
      <w:r>
        <w:t xml:space="preserve">on 25 February 2022 </w:t>
      </w:r>
      <w:r w:rsidRPr="00183260">
        <w:t xml:space="preserve">outlining the measures set out in the </w:t>
      </w:r>
      <w:r w:rsidR="00C86032">
        <w:t>g</w:t>
      </w:r>
      <w:r w:rsidRPr="00183260">
        <w:t xml:space="preserve">overnment's social housing white paper, stakeholder reaction and the next steps. </w:t>
      </w:r>
      <w:hyperlink r:id="rId27" w:history="1">
        <w:r w:rsidR="0090176E" w:rsidRPr="0090176E">
          <w:rPr>
            <w:rStyle w:val="Hyperlink"/>
          </w:rPr>
          <w:t>Research Briefing Publications - House of Commons Library (parliament.uk)</w:t>
        </w:r>
      </w:hyperlink>
    </w:p>
    <w:p w14:paraId="04ED3917" w14:textId="32B5224B" w:rsidR="00854F2D" w:rsidRDefault="004B3807" w:rsidP="00455DCF">
      <w:pPr>
        <w:pStyle w:val="Heading1"/>
        <w:numPr>
          <w:ilvl w:val="0"/>
          <w:numId w:val="30"/>
        </w:numPr>
        <w:jc w:val="both"/>
        <w:rPr>
          <w:sz w:val="28"/>
          <w:szCs w:val="28"/>
        </w:rPr>
      </w:pPr>
      <w:bookmarkStart w:id="26" w:name="_Toc97212367"/>
      <w:r w:rsidRPr="004B3807">
        <w:rPr>
          <w:b/>
          <w:bCs/>
          <w:sz w:val="28"/>
          <w:szCs w:val="28"/>
        </w:rPr>
        <w:t>Repeal of the Vagrancy Act 1824</w:t>
      </w:r>
      <w:bookmarkEnd w:id="26"/>
    </w:p>
    <w:p w14:paraId="3B6BFD19" w14:textId="06D9E599" w:rsidR="00924860" w:rsidRDefault="004B3807" w:rsidP="00924860">
      <w:pPr>
        <w:jc w:val="both"/>
      </w:pPr>
      <w:r>
        <w:t xml:space="preserve">The </w:t>
      </w:r>
      <w:r w:rsidRPr="004B3807">
        <w:t>Home Office published an updated policy paper</w:t>
      </w:r>
      <w:r>
        <w:t xml:space="preserve"> on 28 February 2022</w:t>
      </w:r>
      <w:r w:rsidRPr="004B3807">
        <w:t xml:space="preserve"> in which it re-confirmed that it considers the Vagrancy Act 1824 to be antiquated and no longer fit for purpose, and that it will </w:t>
      </w:r>
      <w:r w:rsidRPr="004B3807">
        <w:lastRenderedPageBreak/>
        <w:t xml:space="preserve">repeal “this outdated Act”. </w:t>
      </w:r>
      <w:hyperlink r:id="rId28" w:history="1">
        <w:r w:rsidR="000B08EB" w:rsidRPr="000B08EB">
          <w:rPr>
            <w:rStyle w:val="Hyperlink"/>
          </w:rPr>
          <w:t>Police, Crime, Sentencing and Courts Bill 2021: repeal of the Vagrancy Act 1824 factsheet - GOV.UK (www.gov.uk)</w:t>
        </w:r>
      </w:hyperlink>
    </w:p>
    <w:p w14:paraId="69F16219" w14:textId="38D973E9" w:rsidR="004B3807" w:rsidRPr="004B3807" w:rsidRDefault="004B3807" w:rsidP="00924860">
      <w:pPr>
        <w:jc w:val="both"/>
      </w:pPr>
      <w:r w:rsidRPr="004B3807">
        <w:t>The government has tabled an amendment to the Police, Crime, Sentencing Courts Bill that provides for the 1824 Act to be repealed in full in England and Wales. This includes repealing section 3 of the Act, which currently makes begging an offence, and section 4 of the Act, which currently creates a range of offences including persons who sleep in an outdoor setting, or in any deserted or unoccupied building. However, in order “to ensure that the police have the tools they need the Act’s repeal will not be commenced until appropriate replacement legislation is in place”. The government says that it will seek to bring forward such replacement as soon as practicable.</w:t>
      </w:r>
    </w:p>
    <w:p w14:paraId="467AA276" w14:textId="0A52E214" w:rsidR="00854F2D" w:rsidRPr="001E146A" w:rsidRDefault="0055738D" w:rsidP="00395E53">
      <w:pPr>
        <w:pStyle w:val="Heading1"/>
        <w:numPr>
          <w:ilvl w:val="0"/>
          <w:numId w:val="30"/>
        </w:numPr>
        <w:jc w:val="both"/>
        <w:rPr>
          <w:b/>
          <w:bCs/>
          <w:sz w:val="28"/>
          <w:szCs w:val="28"/>
        </w:rPr>
      </w:pPr>
      <w:r w:rsidRPr="001E146A">
        <w:rPr>
          <w:b/>
          <w:bCs/>
          <w:sz w:val="28"/>
          <w:szCs w:val="28"/>
        </w:rPr>
        <w:t xml:space="preserve"> </w:t>
      </w:r>
      <w:bookmarkStart w:id="27" w:name="_Toc97212368"/>
      <w:r w:rsidRPr="001E146A">
        <w:rPr>
          <w:b/>
          <w:bCs/>
          <w:sz w:val="28"/>
          <w:szCs w:val="28"/>
        </w:rPr>
        <w:t>New legislation/Bills.</w:t>
      </w:r>
      <w:bookmarkEnd w:id="27"/>
    </w:p>
    <w:p w14:paraId="66C3AEFB" w14:textId="50ACEEFC" w:rsidR="0055738D" w:rsidRPr="001E146A" w:rsidRDefault="0055738D" w:rsidP="001E146A">
      <w:pPr>
        <w:pStyle w:val="Heading2"/>
        <w:numPr>
          <w:ilvl w:val="0"/>
          <w:numId w:val="42"/>
        </w:numPr>
        <w:jc w:val="both"/>
        <w:rPr>
          <w:b/>
          <w:bCs/>
          <w:sz w:val="24"/>
          <w:szCs w:val="24"/>
        </w:rPr>
      </w:pPr>
      <w:bookmarkStart w:id="28" w:name="_Toc97212369"/>
      <w:r w:rsidRPr="001E146A">
        <w:rPr>
          <w:b/>
          <w:bCs/>
          <w:sz w:val="24"/>
          <w:szCs w:val="24"/>
        </w:rPr>
        <w:t>Social Housing (Emergency Protection of Tenancy Rights</w:t>
      </w:r>
      <w:bookmarkEnd w:id="28"/>
      <w:r w:rsidR="000F4B81">
        <w:rPr>
          <w:b/>
          <w:bCs/>
          <w:sz w:val="24"/>
          <w:szCs w:val="24"/>
        </w:rPr>
        <w:t>)</w:t>
      </w:r>
    </w:p>
    <w:p w14:paraId="3006E644" w14:textId="5D016FB2" w:rsidR="0055738D" w:rsidRDefault="0055738D" w:rsidP="00961BFF">
      <w:pPr>
        <w:pStyle w:val="ListParagraph"/>
        <w:jc w:val="both"/>
      </w:pPr>
      <w:r>
        <w:t>This Private Members' Bill</w:t>
      </w:r>
      <w:r w:rsidR="004B76B5">
        <w:t xml:space="preserve"> would</w:t>
      </w:r>
      <w:r>
        <w:t xml:space="preserve"> give social housing tenants the right to continuity of secure tenancy in circumstances when they have to move because of a threat to the personal safety of the tenant or someone in their household; and to place associated responsibilities on local authorities and social housing providers. Second reading of the Bill is scheduled to take place on 18 March 2022. The Bill awaits publication. </w:t>
      </w:r>
    </w:p>
    <w:p w14:paraId="0D3BC433" w14:textId="77777777" w:rsidR="0055738D" w:rsidRPr="001E146A" w:rsidRDefault="0055738D" w:rsidP="001E146A">
      <w:pPr>
        <w:pStyle w:val="Heading2"/>
        <w:numPr>
          <w:ilvl w:val="0"/>
          <w:numId w:val="42"/>
        </w:numPr>
        <w:jc w:val="both"/>
        <w:rPr>
          <w:b/>
          <w:bCs/>
          <w:sz w:val="24"/>
          <w:szCs w:val="24"/>
        </w:rPr>
      </w:pPr>
      <w:bookmarkStart w:id="29" w:name="_Toc97212370"/>
      <w:r w:rsidRPr="001E146A">
        <w:rPr>
          <w:b/>
          <w:bCs/>
          <w:sz w:val="24"/>
          <w:szCs w:val="24"/>
        </w:rPr>
        <w:t>Homeless People (Current Accounts) Bill UPDATED</w:t>
      </w:r>
      <w:bookmarkEnd w:id="29"/>
    </w:p>
    <w:p w14:paraId="48E27F1D" w14:textId="3B1EA66D" w:rsidR="0055738D" w:rsidRDefault="0055738D" w:rsidP="00961BFF">
      <w:pPr>
        <w:pStyle w:val="ListParagraph"/>
        <w:jc w:val="both"/>
      </w:pPr>
      <w:r>
        <w:t>This Private Members’ Bill</w:t>
      </w:r>
      <w:r w:rsidR="004B76B5">
        <w:t xml:space="preserve"> </w:t>
      </w:r>
      <w:r>
        <w:t>would require banks to provide current accounts for homeless people seeking work. It was presented to Parliament on 21 June 2021. Second reading has been further postponed to 18 March 2022. The Bill awaits publication</w:t>
      </w:r>
      <w:r w:rsidR="00732D80">
        <w:t>.</w:t>
      </w:r>
    </w:p>
    <w:p w14:paraId="4929DDCA" w14:textId="53FDFF18" w:rsidR="0055738D" w:rsidRPr="001E146A" w:rsidRDefault="0055738D" w:rsidP="001E146A">
      <w:pPr>
        <w:pStyle w:val="Heading2"/>
        <w:numPr>
          <w:ilvl w:val="0"/>
          <w:numId w:val="42"/>
        </w:numPr>
        <w:jc w:val="both"/>
        <w:rPr>
          <w:b/>
          <w:bCs/>
          <w:sz w:val="24"/>
          <w:szCs w:val="24"/>
        </w:rPr>
      </w:pPr>
      <w:bookmarkStart w:id="30" w:name="_Toc97212371"/>
      <w:r w:rsidRPr="001E146A">
        <w:rPr>
          <w:b/>
          <w:bCs/>
          <w:sz w:val="24"/>
          <w:szCs w:val="24"/>
        </w:rPr>
        <w:t>Housing Standards (Refugees and Asylum Seekers) Bill UPDATED</w:t>
      </w:r>
      <w:bookmarkEnd w:id="30"/>
    </w:p>
    <w:p w14:paraId="1FDF47AC" w14:textId="3E4507B4" w:rsidR="0055738D" w:rsidRDefault="0055738D" w:rsidP="00961BFF">
      <w:pPr>
        <w:pStyle w:val="ListParagraph"/>
        <w:jc w:val="both"/>
      </w:pPr>
      <w:r>
        <w:t>This Private Members’ Bill</w:t>
      </w:r>
      <w:r w:rsidR="00732D80">
        <w:t xml:space="preserve"> </w:t>
      </w:r>
      <w:r>
        <w:t xml:space="preserve">would make provision for national minimum standards in accommodation offered to refugees and asylum seekers. It was presented to Parliament on 21 June 2021. Second reading has been further postponed to 18 March 2022.The Bill awaits publication. </w:t>
      </w:r>
    </w:p>
    <w:p w14:paraId="53CD4A5B" w14:textId="77777777" w:rsidR="0055738D" w:rsidRPr="001E146A" w:rsidRDefault="0055738D" w:rsidP="001E146A">
      <w:pPr>
        <w:pStyle w:val="Heading2"/>
        <w:numPr>
          <w:ilvl w:val="0"/>
          <w:numId w:val="42"/>
        </w:numPr>
        <w:jc w:val="both"/>
        <w:rPr>
          <w:b/>
          <w:bCs/>
          <w:sz w:val="24"/>
          <w:szCs w:val="24"/>
        </w:rPr>
      </w:pPr>
      <w:bookmarkStart w:id="31" w:name="_Toc97212372"/>
      <w:r w:rsidRPr="001E146A">
        <w:rPr>
          <w:b/>
          <w:bCs/>
          <w:sz w:val="24"/>
          <w:szCs w:val="24"/>
        </w:rPr>
        <w:t>Homeless People (Current Accounts) Bill UPDATED</w:t>
      </w:r>
      <w:bookmarkEnd w:id="31"/>
    </w:p>
    <w:p w14:paraId="05AA59BB" w14:textId="71D2F66B" w:rsidR="0055738D" w:rsidRDefault="0055738D" w:rsidP="00961BFF">
      <w:pPr>
        <w:pStyle w:val="ListParagraph"/>
        <w:jc w:val="both"/>
      </w:pPr>
      <w:r>
        <w:t>This Private Members’ Bill</w:t>
      </w:r>
      <w:r w:rsidR="00732D80">
        <w:t xml:space="preserve"> </w:t>
      </w:r>
      <w:r>
        <w:t xml:space="preserve">would require banks to provide current accounts for homeless people seeking work. It was presented to Parliament on 21 June 2021. Second reading has been further postponed to 18 March 2022. The Bill awaits publication. </w:t>
      </w:r>
    </w:p>
    <w:p w14:paraId="23485302" w14:textId="21FC2863" w:rsidR="0055738D" w:rsidRPr="001E146A" w:rsidRDefault="0055738D" w:rsidP="001E146A">
      <w:pPr>
        <w:pStyle w:val="Heading2"/>
        <w:numPr>
          <w:ilvl w:val="0"/>
          <w:numId w:val="42"/>
        </w:numPr>
        <w:jc w:val="both"/>
        <w:rPr>
          <w:b/>
          <w:bCs/>
          <w:sz w:val="24"/>
          <w:szCs w:val="24"/>
        </w:rPr>
      </w:pPr>
      <w:bookmarkStart w:id="32" w:name="_Toc97212373"/>
      <w:r w:rsidRPr="001E146A">
        <w:rPr>
          <w:b/>
          <w:bCs/>
          <w:sz w:val="24"/>
          <w:szCs w:val="24"/>
        </w:rPr>
        <w:t>Evictions (Universal Credit) Bill UPDATE</w:t>
      </w:r>
      <w:bookmarkEnd w:id="32"/>
    </w:p>
    <w:p w14:paraId="63004602" w14:textId="3D4D617F" w:rsidR="0055738D" w:rsidRDefault="0055738D" w:rsidP="00682D7D">
      <w:pPr>
        <w:pStyle w:val="ListParagraph"/>
        <w:jc w:val="both"/>
      </w:pPr>
      <w:r>
        <w:t xml:space="preserve">This Private Members’ Bill would place a duty on the Secretary of State to prevent the evictions of Universal Credit claimants in rent arrears. It was presented to Parliament on 21 June 2021. Second reading has been further postponed to 18 March 2022. The Bill awaits publication. </w:t>
      </w:r>
    </w:p>
    <w:p w14:paraId="1C8AAF64" w14:textId="77777777" w:rsidR="0055738D" w:rsidRPr="001E146A" w:rsidRDefault="0055738D" w:rsidP="001E146A">
      <w:pPr>
        <w:pStyle w:val="Heading2"/>
        <w:numPr>
          <w:ilvl w:val="0"/>
          <w:numId w:val="42"/>
        </w:numPr>
        <w:jc w:val="both"/>
        <w:rPr>
          <w:b/>
          <w:bCs/>
          <w:sz w:val="24"/>
          <w:szCs w:val="24"/>
        </w:rPr>
      </w:pPr>
      <w:bookmarkStart w:id="33" w:name="_Toc97212374"/>
      <w:r w:rsidRPr="001E146A">
        <w:rPr>
          <w:b/>
          <w:bCs/>
          <w:sz w:val="24"/>
          <w:szCs w:val="24"/>
        </w:rPr>
        <w:t>Building Safety Bill</w:t>
      </w:r>
      <w:bookmarkEnd w:id="33"/>
    </w:p>
    <w:p w14:paraId="458EA8C4" w14:textId="100788F3" w:rsidR="00CB25C5" w:rsidRDefault="0055738D" w:rsidP="00B06E9D">
      <w:pPr>
        <w:pStyle w:val="ListParagraph"/>
        <w:jc w:val="both"/>
      </w:pPr>
      <w:r>
        <w:t xml:space="preserve">This Government Bill would make provision about the safety of people in or about buildings and the standard of buildings, to amend the Architects Act 1997, and to amend provision about complaints made to a housing ombudsman. The Bill completed its passage through the House of Commons on 19 January 2022. It received its first reading in the House of Lords on 20 February 2022. It received its second reading on 2 February 2022. The Committee stage began on 21 February 2022. </w:t>
      </w:r>
    </w:p>
    <w:p w14:paraId="052E9307" w14:textId="0CED537A" w:rsidR="0055738D" w:rsidRPr="001E146A" w:rsidRDefault="0055738D" w:rsidP="001E146A">
      <w:pPr>
        <w:pStyle w:val="Heading2"/>
        <w:numPr>
          <w:ilvl w:val="0"/>
          <w:numId w:val="42"/>
        </w:numPr>
        <w:jc w:val="both"/>
        <w:rPr>
          <w:b/>
          <w:bCs/>
          <w:sz w:val="24"/>
          <w:szCs w:val="24"/>
        </w:rPr>
      </w:pPr>
      <w:bookmarkStart w:id="34" w:name="_Toc97212375"/>
      <w:r w:rsidRPr="001E146A">
        <w:rPr>
          <w:b/>
          <w:bCs/>
          <w:sz w:val="24"/>
          <w:szCs w:val="24"/>
        </w:rPr>
        <w:lastRenderedPageBreak/>
        <w:t>Fire Safety Remediation Charges (Recovery and Enforcement) Bill</w:t>
      </w:r>
      <w:bookmarkEnd w:id="34"/>
    </w:p>
    <w:p w14:paraId="66CB1E53" w14:textId="06EFEC6A" w:rsidR="0055738D" w:rsidRDefault="0055738D" w:rsidP="00961BFF">
      <w:pPr>
        <w:pStyle w:val="ListParagraph"/>
        <w:jc w:val="both"/>
      </w:pPr>
      <w:r>
        <w:t xml:space="preserve">This Private Members’ Bill would introduce a moratorium on recovery and enforcement action by freeholders and managing agents relating to service charges increases, fees or demands for payment in respect of leaseholders’ share of the costs of fire safety remediation work. It was presented to Parliament on 24 January 2022. Second reading is scheduled to take place on 18 March 2022. The Bill awaits publication. </w:t>
      </w:r>
    </w:p>
    <w:p w14:paraId="34266F90" w14:textId="77777777" w:rsidR="0055738D" w:rsidRPr="001E146A" w:rsidRDefault="0055738D" w:rsidP="001E146A">
      <w:pPr>
        <w:pStyle w:val="Heading2"/>
        <w:numPr>
          <w:ilvl w:val="0"/>
          <w:numId w:val="42"/>
        </w:numPr>
        <w:jc w:val="both"/>
        <w:rPr>
          <w:b/>
          <w:bCs/>
          <w:sz w:val="24"/>
          <w:szCs w:val="24"/>
        </w:rPr>
      </w:pPr>
      <w:bookmarkStart w:id="35" w:name="_Toc97212376"/>
      <w:r w:rsidRPr="001E146A">
        <w:rPr>
          <w:b/>
          <w:bCs/>
          <w:sz w:val="24"/>
          <w:szCs w:val="24"/>
        </w:rPr>
        <w:t>Asylum Seekers (Accommodation Eviction Procedures) Bill</w:t>
      </w:r>
      <w:bookmarkEnd w:id="35"/>
    </w:p>
    <w:p w14:paraId="4192B5B0" w14:textId="24319608" w:rsidR="0055738D" w:rsidRDefault="0055738D" w:rsidP="00391D4B">
      <w:pPr>
        <w:pStyle w:val="ListParagraph"/>
        <w:jc w:val="both"/>
      </w:pPr>
      <w:r>
        <w:t>This Private Members’ Bill, sponsored by Chris Stephens, would make provision for asylum seekers to challenge the proportionality of a proposed eviction from accommodation before an independent court or tribunal; and establish asylum seeker accommodation eviction procedures for public authorities. It was presented to Parliament on 21 June 2021. The second reading was postponed to 14 January 2022 but was not debated on that day.</w:t>
      </w:r>
      <w:r w:rsidR="00391D4B">
        <w:t xml:space="preserve"> </w:t>
      </w:r>
      <w:r>
        <w:t xml:space="preserve">The Bill awaits publication. </w:t>
      </w:r>
    </w:p>
    <w:p w14:paraId="21ABB63A" w14:textId="77777777" w:rsidR="0055738D" w:rsidRPr="001E146A" w:rsidRDefault="0055738D" w:rsidP="001E146A">
      <w:pPr>
        <w:pStyle w:val="Heading2"/>
        <w:numPr>
          <w:ilvl w:val="0"/>
          <w:numId w:val="42"/>
        </w:numPr>
        <w:jc w:val="both"/>
        <w:rPr>
          <w:b/>
          <w:bCs/>
          <w:sz w:val="24"/>
          <w:szCs w:val="24"/>
        </w:rPr>
      </w:pPr>
      <w:bookmarkStart w:id="36" w:name="_Toc97212377"/>
      <w:r w:rsidRPr="001E146A">
        <w:rPr>
          <w:b/>
          <w:bCs/>
          <w:sz w:val="24"/>
          <w:szCs w:val="24"/>
        </w:rPr>
        <w:t>Fire and Building Safety (Public Inquiry) Bill</w:t>
      </w:r>
      <w:bookmarkEnd w:id="36"/>
    </w:p>
    <w:p w14:paraId="537A8A56" w14:textId="68B5E992" w:rsidR="0055738D" w:rsidRDefault="0055738D" w:rsidP="00391D4B">
      <w:pPr>
        <w:pStyle w:val="ListParagraph"/>
        <w:jc w:val="both"/>
      </w:pPr>
      <w:r>
        <w:t>This Bil</w:t>
      </w:r>
      <w:r w:rsidR="001917B5">
        <w:t xml:space="preserve">l </w:t>
      </w:r>
      <w:r>
        <w:t>would establish an independent public inquiry into the Government’s response to concerns about fire and building safety. It was introduced to Parliament on Tuesday 6 July 2021 under the Ten</w:t>
      </w:r>
      <w:r w:rsidR="00391D4B">
        <w:t>-</w:t>
      </w:r>
      <w:r>
        <w:t xml:space="preserve">Minute Rule. Second reading has been rescheduled to 18 March 2022. For the Bill, as introduced, </w:t>
      </w:r>
      <w:r w:rsidR="006055A3">
        <w:t xml:space="preserve">can be found here: </w:t>
      </w:r>
      <w:r>
        <w:t xml:space="preserve"> </w:t>
      </w:r>
      <w:hyperlink r:id="rId29" w:history="1">
        <w:r w:rsidR="002A2C1B" w:rsidRPr="002A2C1B">
          <w:rPr>
            <w:rStyle w:val="Hyperlink"/>
          </w:rPr>
          <w:t>Fire and Building Safety (Public Inquiry) Bill (parliament.uk)</w:t>
        </w:r>
      </w:hyperlink>
    </w:p>
    <w:p w14:paraId="42756D6D" w14:textId="77777777" w:rsidR="0055738D" w:rsidRPr="001E146A" w:rsidRDefault="0055738D" w:rsidP="001E146A">
      <w:pPr>
        <w:pStyle w:val="Heading2"/>
        <w:numPr>
          <w:ilvl w:val="0"/>
          <w:numId w:val="42"/>
        </w:numPr>
        <w:jc w:val="both"/>
        <w:rPr>
          <w:b/>
          <w:bCs/>
          <w:sz w:val="24"/>
          <w:szCs w:val="24"/>
        </w:rPr>
      </w:pPr>
      <w:bookmarkStart w:id="37" w:name="_Toc97212378"/>
      <w:r w:rsidRPr="001E146A">
        <w:rPr>
          <w:b/>
          <w:bCs/>
          <w:sz w:val="24"/>
          <w:szCs w:val="24"/>
        </w:rPr>
        <w:t>Under-Occupancy Penalty (Report) Bill</w:t>
      </w:r>
      <w:bookmarkEnd w:id="37"/>
    </w:p>
    <w:p w14:paraId="291036EF" w14:textId="7A9CDCC2" w:rsidR="0055738D" w:rsidRPr="0055738D" w:rsidRDefault="0055738D" w:rsidP="00391D4B">
      <w:pPr>
        <w:pStyle w:val="ListParagraph"/>
        <w:jc w:val="both"/>
      </w:pPr>
      <w:r>
        <w:t>This Private Members’ Bill</w:t>
      </w:r>
      <w:r w:rsidR="001917B5">
        <w:t xml:space="preserve"> </w:t>
      </w:r>
      <w:r>
        <w:t xml:space="preserve"> would require the Secretary of State to report to Parliament on the merits of repealing those provisions of the Welfare Reform Act 2012 which provide for persons to be paid reduced rates of housing benefit or Universal Credit because their accommodation is deemed to be under-occupied. It was presented to Parliament on 21 June 2021 and will receive its second reading on 14 January 2022.The Bill awaits publication. </w:t>
      </w:r>
    </w:p>
    <w:bookmarkEnd w:id="10"/>
    <w:bookmarkEnd w:id="11"/>
    <w:bookmarkEnd w:id="13"/>
    <w:p w14:paraId="4712CFC0" w14:textId="77777777" w:rsidR="00CB3B6C" w:rsidRPr="00CB3B6C" w:rsidRDefault="00CB3B6C" w:rsidP="0090176E">
      <w:pPr>
        <w:jc w:val="both"/>
      </w:pPr>
    </w:p>
    <w:sectPr w:rsidR="00CB3B6C" w:rsidRPr="00CB3B6C" w:rsidSect="00052F8E">
      <w:headerReference w:type="default" r:id="rId30"/>
      <w:footerReference w:type="default" r:id="rId3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CED55" w14:textId="77777777" w:rsidR="000B7FC4" w:rsidRDefault="000B7FC4" w:rsidP="00894061">
      <w:pPr>
        <w:spacing w:after="0" w:line="240" w:lineRule="auto"/>
      </w:pPr>
      <w:r>
        <w:separator/>
      </w:r>
    </w:p>
  </w:endnote>
  <w:endnote w:type="continuationSeparator" w:id="0">
    <w:p w14:paraId="22B40B58" w14:textId="77777777" w:rsidR="000B7FC4" w:rsidRDefault="000B7FC4" w:rsidP="00894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784500"/>
      <w:docPartObj>
        <w:docPartGallery w:val="Page Numbers (Bottom of Page)"/>
        <w:docPartUnique/>
      </w:docPartObj>
    </w:sdtPr>
    <w:sdtEndPr>
      <w:rPr>
        <w:noProof/>
      </w:rPr>
    </w:sdtEndPr>
    <w:sdtContent>
      <w:p w14:paraId="1C373F76" w14:textId="6E335D5B" w:rsidR="00A84B33" w:rsidRDefault="00A84B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8188C2" w14:textId="77777777" w:rsidR="00875CE3" w:rsidRDefault="009C3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81DC" w14:textId="77777777" w:rsidR="000B7FC4" w:rsidRDefault="000B7FC4" w:rsidP="00894061">
      <w:pPr>
        <w:spacing w:after="0" w:line="240" w:lineRule="auto"/>
      </w:pPr>
      <w:r>
        <w:separator/>
      </w:r>
    </w:p>
  </w:footnote>
  <w:footnote w:type="continuationSeparator" w:id="0">
    <w:p w14:paraId="6ADCA1FD" w14:textId="77777777" w:rsidR="000B7FC4" w:rsidRDefault="000B7FC4" w:rsidP="00894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9692" w14:textId="56468E6E" w:rsidR="00875CE3" w:rsidRDefault="009C3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737"/>
    <w:multiLevelType w:val="hybridMultilevel"/>
    <w:tmpl w:val="71BC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D0AC5"/>
    <w:multiLevelType w:val="multilevel"/>
    <w:tmpl w:val="BB540CE8"/>
    <w:lvl w:ilvl="0">
      <w:start w:val="1"/>
      <w:numFmt w:val="bullet"/>
      <w:lvlText w:val=""/>
      <w:lvlJc w:val="left"/>
      <w:pPr>
        <w:tabs>
          <w:tab w:val="num" w:pos="862"/>
        </w:tabs>
        <w:ind w:left="862" w:hanging="360"/>
      </w:pPr>
      <w:rPr>
        <w:rFonts w:ascii="Symbol" w:hAnsi="Symbol" w:hint="default"/>
        <w:sz w:val="20"/>
      </w:rPr>
    </w:lvl>
    <w:lvl w:ilvl="1" w:tentative="1">
      <w:start w:val="1"/>
      <w:numFmt w:val="bullet"/>
      <w:lvlText w:val="o"/>
      <w:lvlJc w:val="left"/>
      <w:pPr>
        <w:tabs>
          <w:tab w:val="num" w:pos="1582"/>
        </w:tabs>
        <w:ind w:left="1582" w:hanging="360"/>
      </w:pPr>
      <w:rPr>
        <w:rFonts w:ascii="Courier New" w:hAnsi="Courier New" w:hint="default"/>
        <w:sz w:val="20"/>
      </w:rPr>
    </w:lvl>
    <w:lvl w:ilvl="2" w:tentative="1">
      <w:start w:val="1"/>
      <w:numFmt w:val="bullet"/>
      <w:lvlText w:val=""/>
      <w:lvlJc w:val="left"/>
      <w:pPr>
        <w:tabs>
          <w:tab w:val="num" w:pos="2302"/>
        </w:tabs>
        <w:ind w:left="2302" w:hanging="360"/>
      </w:pPr>
      <w:rPr>
        <w:rFonts w:ascii="Wingdings" w:hAnsi="Wingdings" w:hint="default"/>
        <w:sz w:val="20"/>
      </w:rPr>
    </w:lvl>
    <w:lvl w:ilvl="3" w:tentative="1">
      <w:start w:val="1"/>
      <w:numFmt w:val="bullet"/>
      <w:lvlText w:val=""/>
      <w:lvlJc w:val="left"/>
      <w:pPr>
        <w:tabs>
          <w:tab w:val="num" w:pos="3022"/>
        </w:tabs>
        <w:ind w:left="3022" w:hanging="360"/>
      </w:pPr>
      <w:rPr>
        <w:rFonts w:ascii="Wingdings" w:hAnsi="Wingdings" w:hint="default"/>
        <w:sz w:val="20"/>
      </w:rPr>
    </w:lvl>
    <w:lvl w:ilvl="4" w:tentative="1">
      <w:start w:val="1"/>
      <w:numFmt w:val="bullet"/>
      <w:lvlText w:val=""/>
      <w:lvlJc w:val="left"/>
      <w:pPr>
        <w:tabs>
          <w:tab w:val="num" w:pos="3742"/>
        </w:tabs>
        <w:ind w:left="3742" w:hanging="360"/>
      </w:pPr>
      <w:rPr>
        <w:rFonts w:ascii="Wingdings" w:hAnsi="Wingdings" w:hint="default"/>
        <w:sz w:val="20"/>
      </w:rPr>
    </w:lvl>
    <w:lvl w:ilvl="5" w:tentative="1">
      <w:start w:val="1"/>
      <w:numFmt w:val="bullet"/>
      <w:lvlText w:val=""/>
      <w:lvlJc w:val="left"/>
      <w:pPr>
        <w:tabs>
          <w:tab w:val="num" w:pos="4462"/>
        </w:tabs>
        <w:ind w:left="4462" w:hanging="360"/>
      </w:pPr>
      <w:rPr>
        <w:rFonts w:ascii="Wingdings" w:hAnsi="Wingdings" w:hint="default"/>
        <w:sz w:val="20"/>
      </w:rPr>
    </w:lvl>
    <w:lvl w:ilvl="6" w:tentative="1">
      <w:start w:val="1"/>
      <w:numFmt w:val="bullet"/>
      <w:lvlText w:val=""/>
      <w:lvlJc w:val="left"/>
      <w:pPr>
        <w:tabs>
          <w:tab w:val="num" w:pos="5182"/>
        </w:tabs>
        <w:ind w:left="5182" w:hanging="360"/>
      </w:pPr>
      <w:rPr>
        <w:rFonts w:ascii="Wingdings" w:hAnsi="Wingdings" w:hint="default"/>
        <w:sz w:val="20"/>
      </w:rPr>
    </w:lvl>
    <w:lvl w:ilvl="7" w:tentative="1">
      <w:start w:val="1"/>
      <w:numFmt w:val="bullet"/>
      <w:lvlText w:val=""/>
      <w:lvlJc w:val="left"/>
      <w:pPr>
        <w:tabs>
          <w:tab w:val="num" w:pos="5902"/>
        </w:tabs>
        <w:ind w:left="5902" w:hanging="360"/>
      </w:pPr>
      <w:rPr>
        <w:rFonts w:ascii="Wingdings" w:hAnsi="Wingdings" w:hint="default"/>
        <w:sz w:val="20"/>
      </w:rPr>
    </w:lvl>
    <w:lvl w:ilvl="8" w:tentative="1">
      <w:start w:val="1"/>
      <w:numFmt w:val="bullet"/>
      <w:lvlText w:val=""/>
      <w:lvlJc w:val="left"/>
      <w:pPr>
        <w:tabs>
          <w:tab w:val="num" w:pos="6622"/>
        </w:tabs>
        <w:ind w:left="6622" w:hanging="360"/>
      </w:pPr>
      <w:rPr>
        <w:rFonts w:ascii="Wingdings" w:hAnsi="Wingdings" w:hint="default"/>
        <w:sz w:val="20"/>
      </w:rPr>
    </w:lvl>
  </w:abstractNum>
  <w:abstractNum w:abstractNumId="2" w15:restartNumberingAfterBreak="0">
    <w:nsid w:val="1629559A"/>
    <w:multiLevelType w:val="hybridMultilevel"/>
    <w:tmpl w:val="67D28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34E6D"/>
    <w:multiLevelType w:val="hybridMultilevel"/>
    <w:tmpl w:val="9072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E5A03"/>
    <w:multiLevelType w:val="hybridMultilevel"/>
    <w:tmpl w:val="C35C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656F0"/>
    <w:multiLevelType w:val="hybridMultilevel"/>
    <w:tmpl w:val="0770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567EE"/>
    <w:multiLevelType w:val="hybridMultilevel"/>
    <w:tmpl w:val="C4964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197C7F"/>
    <w:multiLevelType w:val="hybridMultilevel"/>
    <w:tmpl w:val="E06C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842AF"/>
    <w:multiLevelType w:val="hybridMultilevel"/>
    <w:tmpl w:val="1A78AF3A"/>
    <w:lvl w:ilvl="0" w:tplc="E6B078A0">
      <w:start w:val="1"/>
      <w:numFmt w:val="upperRoman"/>
      <w:lvlText w:val="%1."/>
      <w:lvlJc w:val="right"/>
      <w:pPr>
        <w:ind w:left="720" w:hanging="360"/>
      </w:pPr>
      <w:rPr>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A361E8"/>
    <w:multiLevelType w:val="hybridMultilevel"/>
    <w:tmpl w:val="BFC6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A05DE"/>
    <w:multiLevelType w:val="hybridMultilevel"/>
    <w:tmpl w:val="7302A7FE"/>
    <w:lvl w:ilvl="0" w:tplc="60C8301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4909CA"/>
    <w:multiLevelType w:val="multilevel"/>
    <w:tmpl w:val="58FC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64714"/>
    <w:multiLevelType w:val="hybridMultilevel"/>
    <w:tmpl w:val="230E180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6934CB"/>
    <w:multiLevelType w:val="hybridMultilevel"/>
    <w:tmpl w:val="0830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C4381"/>
    <w:multiLevelType w:val="hybridMultilevel"/>
    <w:tmpl w:val="02282624"/>
    <w:lvl w:ilvl="0" w:tplc="9DEE2186">
      <w:start w:val="1"/>
      <w:numFmt w:val="decimal"/>
      <w:lvlText w:val="%1."/>
      <w:lvlJc w:val="left"/>
      <w:pPr>
        <w:ind w:left="643" w:hanging="360"/>
      </w:pPr>
      <w:rPr>
        <w:rFonts w:asciiTheme="minorHAnsi" w:hAnsiTheme="minorHAnsi" w:cstheme="minorHAnsi" w:hint="default"/>
        <w:b w:val="0"/>
        <w:bCs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0A72D3"/>
    <w:multiLevelType w:val="hybridMultilevel"/>
    <w:tmpl w:val="CEB6CE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79453E"/>
    <w:multiLevelType w:val="hybridMultilevel"/>
    <w:tmpl w:val="2CA87AB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844FD2"/>
    <w:multiLevelType w:val="hybridMultilevel"/>
    <w:tmpl w:val="80EEAA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163FE2"/>
    <w:multiLevelType w:val="hybridMultilevel"/>
    <w:tmpl w:val="2A8A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52367"/>
    <w:multiLevelType w:val="hybridMultilevel"/>
    <w:tmpl w:val="BA142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803C7"/>
    <w:multiLevelType w:val="hybridMultilevel"/>
    <w:tmpl w:val="161A5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A559C5"/>
    <w:multiLevelType w:val="hybridMultilevel"/>
    <w:tmpl w:val="4F60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41307"/>
    <w:multiLevelType w:val="multilevel"/>
    <w:tmpl w:val="3F1E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4F48E0"/>
    <w:multiLevelType w:val="hybridMultilevel"/>
    <w:tmpl w:val="E112F776"/>
    <w:lvl w:ilvl="0" w:tplc="27043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9D254D"/>
    <w:multiLevelType w:val="hybridMultilevel"/>
    <w:tmpl w:val="69287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A24AB8"/>
    <w:multiLevelType w:val="hybridMultilevel"/>
    <w:tmpl w:val="5400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6A787A"/>
    <w:multiLevelType w:val="hybridMultilevel"/>
    <w:tmpl w:val="BE5668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A944E1"/>
    <w:multiLevelType w:val="hybridMultilevel"/>
    <w:tmpl w:val="69DA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4250F6"/>
    <w:multiLevelType w:val="hybridMultilevel"/>
    <w:tmpl w:val="4E0475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B42544"/>
    <w:multiLevelType w:val="hybridMultilevel"/>
    <w:tmpl w:val="9E1A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3A22E3"/>
    <w:multiLevelType w:val="hybridMultilevel"/>
    <w:tmpl w:val="90F813DA"/>
    <w:lvl w:ilvl="0" w:tplc="DE9A4B52">
      <w:start w:val="1"/>
      <w:numFmt w:val="upperRoman"/>
      <w:lvlText w:val="%1."/>
      <w:lvlJc w:val="right"/>
      <w:pPr>
        <w:ind w:left="720" w:hanging="360"/>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5A3658"/>
    <w:multiLevelType w:val="hybridMultilevel"/>
    <w:tmpl w:val="2F0C562A"/>
    <w:lvl w:ilvl="0" w:tplc="60C830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497884"/>
    <w:multiLevelType w:val="hybridMultilevel"/>
    <w:tmpl w:val="5180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FC6FD2"/>
    <w:multiLevelType w:val="hybridMultilevel"/>
    <w:tmpl w:val="1AD8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DF7E30"/>
    <w:multiLevelType w:val="hybridMultilevel"/>
    <w:tmpl w:val="5FBAE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B91C77"/>
    <w:multiLevelType w:val="hybridMultilevel"/>
    <w:tmpl w:val="93EA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372775"/>
    <w:multiLevelType w:val="hybridMultilevel"/>
    <w:tmpl w:val="9A0EB6A0"/>
    <w:lvl w:ilvl="0" w:tplc="E5CA0AAA">
      <w:start w:val="1"/>
      <w:numFmt w:val="upperRoman"/>
      <w:lvlText w:val="%1."/>
      <w:lvlJc w:val="right"/>
      <w:pPr>
        <w:ind w:left="720" w:hanging="360"/>
      </w:pPr>
      <w:rPr>
        <w:b/>
        <w:bCs/>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8F3937"/>
    <w:multiLevelType w:val="hybridMultilevel"/>
    <w:tmpl w:val="4162D1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9F5C1D"/>
    <w:multiLevelType w:val="hybridMultilevel"/>
    <w:tmpl w:val="20B899FA"/>
    <w:lvl w:ilvl="0" w:tplc="E5CA0AAA">
      <w:start w:val="1"/>
      <w:numFmt w:val="upperRoman"/>
      <w:lvlText w:val="%1."/>
      <w:lvlJc w:val="right"/>
      <w:pPr>
        <w:ind w:left="1440" w:hanging="360"/>
      </w:pPr>
      <w:rPr>
        <w:b/>
        <w:bCs/>
        <w:i/>
        <w:i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2FE48F9"/>
    <w:multiLevelType w:val="hybridMultilevel"/>
    <w:tmpl w:val="79E0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E8271F"/>
    <w:multiLevelType w:val="hybridMultilevel"/>
    <w:tmpl w:val="088C3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F663AB"/>
    <w:multiLevelType w:val="hybridMultilevel"/>
    <w:tmpl w:val="D86A1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2C2DCE"/>
    <w:multiLevelType w:val="hybridMultilevel"/>
    <w:tmpl w:val="DFB269E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2"/>
  </w:num>
  <w:num w:numId="3">
    <w:abstractNumId w:val="3"/>
  </w:num>
  <w:num w:numId="4">
    <w:abstractNumId w:val="10"/>
  </w:num>
  <w:num w:numId="5">
    <w:abstractNumId w:val="36"/>
  </w:num>
  <w:num w:numId="6">
    <w:abstractNumId w:val="23"/>
  </w:num>
  <w:num w:numId="7">
    <w:abstractNumId w:val="25"/>
  </w:num>
  <w:num w:numId="8">
    <w:abstractNumId w:val="34"/>
  </w:num>
  <w:num w:numId="9">
    <w:abstractNumId w:val="20"/>
  </w:num>
  <w:num w:numId="10">
    <w:abstractNumId w:val="8"/>
  </w:num>
  <w:num w:numId="11">
    <w:abstractNumId w:val="30"/>
  </w:num>
  <w:num w:numId="12">
    <w:abstractNumId w:val="38"/>
  </w:num>
  <w:num w:numId="13">
    <w:abstractNumId w:val="31"/>
  </w:num>
  <w:num w:numId="14">
    <w:abstractNumId w:val="39"/>
  </w:num>
  <w:num w:numId="15">
    <w:abstractNumId w:val="6"/>
  </w:num>
  <w:num w:numId="16">
    <w:abstractNumId w:val="37"/>
  </w:num>
  <w:num w:numId="17">
    <w:abstractNumId w:val="2"/>
  </w:num>
  <w:num w:numId="18">
    <w:abstractNumId w:val="24"/>
  </w:num>
  <w:num w:numId="19">
    <w:abstractNumId w:val="18"/>
  </w:num>
  <w:num w:numId="20">
    <w:abstractNumId w:val="16"/>
  </w:num>
  <w:num w:numId="21">
    <w:abstractNumId w:val="7"/>
  </w:num>
  <w:num w:numId="22">
    <w:abstractNumId w:val="4"/>
  </w:num>
  <w:num w:numId="23">
    <w:abstractNumId w:val="1"/>
  </w:num>
  <w:num w:numId="24">
    <w:abstractNumId w:val="40"/>
  </w:num>
  <w:num w:numId="25">
    <w:abstractNumId w:val="27"/>
  </w:num>
  <w:num w:numId="26">
    <w:abstractNumId w:val="22"/>
  </w:num>
  <w:num w:numId="27">
    <w:abstractNumId w:val="17"/>
  </w:num>
  <w:num w:numId="28">
    <w:abstractNumId w:val="28"/>
  </w:num>
  <w:num w:numId="29">
    <w:abstractNumId w:val="15"/>
  </w:num>
  <w:num w:numId="30">
    <w:abstractNumId w:val="14"/>
  </w:num>
  <w:num w:numId="31">
    <w:abstractNumId w:val="21"/>
  </w:num>
  <w:num w:numId="32">
    <w:abstractNumId w:val="13"/>
  </w:num>
  <w:num w:numId="33">
    <w:abstractNumId w:val="0"/>
  </w:num>
  <w:num w:numId="34">
    <w:abstractNumId w:val="29"/>
  </w:num>
  <w:num w:numId="35">
    <w:abstractNumId w:val="11"/>
  </w:num>
  <w:num w:numId="36">
    <w:abstractNumId w:val="19"/>
  </w:num>
  <w:num w:numId="37">
    <w:abstractNumId w:val="33"/>
  </w:num>
  <w:num w:numId="38">
    <w:abstractNumId w:val="41"/>
  </w:num>
  <w:num w:numId="39">
    <w:abstractNumId w:val="35"/>
  </w:num>
  <w:num w:numId="40">
    <w:abstractNumId w:val="9"/>
  </w:num>
  <w:num w:numId="41">
    <w:abstractNumId w:val="42"/>
  </w:num>
  <w:num w:numId="42">
    <w:abstractNumId w:val="2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061"/>
    <w:rsid w:val="00000BBD"/>
    <w:rsid w:val="0000613F"/>
    <w:rsid w:val="000106A7"/>
    <w:rsid w:val="000153AC"/>
    <w:rsid w:val="00015972"/>
    <w:rsid w:val="0002029D"/>
    <w:rsid w:val="00022F81"/>
    <w:rsid w:val="00025DB9"/>
    <w:rsid w:val="00043077"/>
    <w:rsid w:val="000437A0"/>
    <w:rsid w:val="0004649A"/>
    <w:rsid w:val="00046F07"/>
    <w:rsid w:val="00060161"/>
    <w:rsid w:val="00067C36"/>
    <w:rsid w:val="000708DC"/>
    <w:rsid w:val="00072B2C"/>
    <w:rsid w:val="00076D92"/>
    <w:rsid w:val="0008245E"/>
    <w:rsid w:val="00086954"/>
    <w:rsid w:val="000973B3"/>
    <w:rsid w:val="000A157C"/>
    <w:rsid w:val="000A4F1F"/>
    <w:rsid w:val="000B08EB"/>
    <w:rsid w:val="000B5BFB"/>
    <w:rsid w:val="000B7165"/>
    <w:rsid w:val="000B7FC4"/>
    <w:rsid w:val="000C2E8C"/>
    <w:rsid w:val="000C4159"/>
    <w:rsid w:val="000C7C91"/>
    <w:rsid w:val="000D334A"/>
    <w:rsid w:val="000E087B"/>
    <w:rsid w:val="000E6E4B"/>
    <w:rsid w:val="000E7898"/>
    <w:rsid w:val="000E7AFD"/>
    <w:rsid w:val="000F2DEF"/>
    <w:rsid w:val="000F3390"/>
    <w:rsid w:val="000F3C8D"/>
    <w:rsid w:val="000F47C1"/>
    <w:rsid w:val="000F4B81"/>
    <w:rsid w:val="00101C94"/>
    <w:rsid w:val="001133B2"/>
    <w:rsid w:val="00113B2C"/>
    <w:rsid w:val="00120BDC"/>
    <w:rsid w:val="00132823"/>
    <w:rsid w:val="00137736"/>
    <w:rsid w:val="00141B6C"/>
    <w:rsid w:val="00141EE6"/>
    <w:rsid w:val="001472CC"/>
    <w:rsid w:val="00147FFB"/>
    <w:rsid w:val="001562FD"/>
    <w:rsid w:val="0016221B"/>
    <w:rsid w:val="00165113"/>
    <w:rsid w:val="001676DE"/>
    <w:rsid w:val="001722EA"/>
    <w:rsid w:val="001769F9"/>
    <w:rsid w:val="00182F96"/>
    <w:rsid w:val="00183260"/>
    <w:rsid w:val="00186C23"/>
    <w:rsid w:val="001917B5"/>
    <w:rsid w:val="00192FAC"/>
    <w:rsid w:val="001A3784"/>
    <w:rsid w:val="001A6949"/>
    <w:rsid w:val="001A78C7"/>
    <w:rsid w:val="001B1056"/>
    <w:rsid w:val="001B414E"/>
    <w:rsid w:val="001C22AA"/>
    <w:rsid w:val="001C3771"/>
    <w:rsid w:val="001C4B78"/>
    <w:rsid w:val="001C725B"/>
    <w:rsid w:val="001D5099"/>
    <w:rsid w:val="001D50B6"/>
    <w:rsid w:val="001D5626"/>
    <w:rsid w:val="001D6177"/>
    <w:rsid w:val="001E053E"/>
    <w:rsid w:val="001E1268"/>
    <w:rsid w:val="001E146A"/>
    <w:rsid w:val="001E37CF"/>
    <w:rsid w:val="001E42B1"/>
    <w:rsid w:val="001F03EC"/>
    <w:rsid w:val="001F0D40"/>
    <w:rsid w:val="001F0F4C"/>
    <w:rsid w:val="001F5789"/>
    <w:rsid w:val="00201EDC"/>
    <w:rsid w:val="00202721"/>
    <w:rsid w:val="002040FD"/>
    <w:rsid w:val="00222AB6"/>
    <w:rsid w:val="00224F4D"/>
    <w:rsid w:val="00230F97"/>
    <w:rsid w:val="00232C66"/>
    <w:rsid w:val="002339C7"/>
    <w:rsid w:val="00235515"/>
    <w:rsid w:val="00235AB2"/>
    <w:rsid w:val="00237AF7"/>
    <w:rsid w:val="0024412D"/>
    <w:rsid w:val="00263DE8"/>
    <w:rsid w:val="002721AD"/>
    <w:rsid w:val="00274E8A"/>
    <w:rsid w:val="00277F49"/>
    <w:rsid w:val="002A2C1B"/>
    <w:rsid w:val="002A5C05"/>
    <w:rsid w:val="002A5D41"/>
    <w:rsid w:val="002B3B43"/>
    <w:rsid w:val="002D5207"/>
    <w:rsid w:val="002D5C38"/>
    <w:rsid w:val="002E371D"/>
    <w:rsid w:val="002E4A2D"/>
    <w:rsid w:val="002F0EC1"/>
    <w:rsid w:val="002F2830"/>
    <w:rsid w:val="002F3FC3"/>
    <w:rsid w:val="00305D90"/>
    <w:rsid w:val="003142C9"/>
    <w:rsid w:val="00320804"/>
    <w:rsid w:val="00323ED1"/>
    <w:rsid w:val="00351A40"/>
    <w:rsid w:val="00352804"/>
    <w:rsid w:val="00362296"/>
    <w:rsid w:val="0036355C"/>
    <w:rsid w:val="00366FC7"/>
    <w:rsid w:val="00382FD9"/>
    <w:rsid w:val="003832A7"/>
    <w:rsid w:val="00391909"/>
    <w:rsid w:val="00391D4B"/>
    <w:rsid w:val="00395E53"/>
    <w:rsid w:val="003C0CCF"/>
    <w:rsid w:val="003C0DFF"/>
    <w:rsid w:val="003C1F60"/>
    <w:rsid w:val="003D17C3"/>
    <w:rsid w:val="003D4554"/>
    <w:rsid w:val="003D511B"/>
    <w:rsid w:val="003D746F"/>
    <w:rsid w:val="003F2CE1"/>
    <w:rsid w:val="003F563C"/>
    <w:rsid w:val="00401BB9"/>
    <w:rsid w:val="004033FD"/>
    <w:rsid w:val="004042B9"/>
    <w:rsid w:val="00406D44"/>
    <w:rsid w:val="00411AF6"/>
    <w:rsid w:val="00415BAC"/>
    <w:rsid w:val="004213AF"/>
    <w:rsid w:val="00421970"/>
    <w:rsid w:val="00425088"/>
    <w:rsid w:val="0043610B"/>
    <w:rsid w:val="004442B2"/>
    <w:rsid w:val="004452DB"/>
    <w:rsid w:val="004479E1"/>
    <w:rsid w:val="0045032D"/>
    <w:rsid w:val="00450AD2"/>
    <w:rsid w:val="00455DCF"/>
    <w:rsid w:val="00456C28"/>
    <w:rsid w:val="00456C8B"/>
    <w:rsid w:val="00457C31"/>
    <w:rsid w:val="00473D51"/>
    <w:rsid w:val="004753F9"/>
    <w:rsid w:val="00475FA2"/>
    <w:rsid w:val="00482D28"/>
    <w:rsid w:val="00484C1A"/>
    <w:rsid w:val="004853F9"/>
    <w:rsid w:val="004970F3"/>
    <w:rsid w:val="004A4D32"/>
    <w:rsid w:val="004A4EB4"/>
    <w:rsid w:val="004A6DA0"/>
    <w:rsid w:val="004A72A9"/>
    <w:rsid w:val="004B18EA"/>
    <w:rsid w:val="004B3807"/>
    <w:rsid w:val="004B3AE6"/>
    <w:rsid w:val="004B76B5"/>
    <w:rsid w:val="004C0426"/>
    <w:rsid w:val="004C43E2"/>
    <w:rsid w:val="004C6133"/>
    <w:rsid w:val="004C77C2"/>
    <w:rsid w:val="004D375A"/>
    <w:rsid w:val="004E6DAC"/>
    <w:rsid w:val="004E6DE0"/>
    <w:rsid w:val="004F627A"/>
    <w:rsid w:val="005021B7"/>
    <w:rsid w:val="00502BCA"/>
    <w:rsid w:val="0050457C"/>
    <w:rsid w:val="00516E52"/>
    <w:rsid w:val="00536AEA"/>
    <w:rsid w:val="005374D7"/>
    <w:rsid w:val="00546B99"/>
    <w:rsid w:val="00551D2B"/>
    <w:rsid w:val="0055738D"/>
    <w:rsid w:val="005643A8"/>
    <w:rsid w:val="005644DA"/>
    <w:rsid w:val="00564F23"/>
    <w:rsid w:val="0056579A"/>
    <w:rsid w:val="00567A2A"/>
    <w:rsid w:val="00571FB0"/>
    <w:rsid w:val="0057425A"/>
    <w:rsid w:val="0058099F"/>
    <w:rsid w:val="00586645"/>
    <w:rsid w:val="00586FFD"/>
    <w:rsid w:val="00587B56"/>
    <w:rsid w:val="00594C2E"/>
    <w:rsid w:val="00596175"/>
    <w:rsid w:val="005A03E3"/>
    <w:rsid w:val="005A0FDB"/>
    <w:rsid w:val="005B04C6"/>
    <w:rsid w:val="005B2063"/>
    <w:rsid w:val="005B4DA6"/>
    <w:rsid w:val="005B7FC4"/>
    <w:rsid w:val="005C32FF"/>
    <w:rsid w:val="005C53A0"/>
    <w:rsid w:val="005D270E"/>
    <w:rsid w:val="005D33B9"/>
    <w:rsid w:val="005D7A22"/>
    <w:rsid w:val="005E37BE"/>
    <w:rsid w:val="005E3CA4"/>
    <w:rsid w:val="005F2917"/>
    <w:rsid w:val="005F5461"/>
    <w:rsid w:val="005F5530"/>
    <w:rsid w:val="005F698E"/>
    <w:rsid w:val="00602B86"/>
    <w:rsid w:val="006055A3"/>
    <w:rsid w:val="00606B62"/>
    <w:rsid w:val="006142BD"/>
    <w:rsid w:val="00614D6A"/>
    <w:rsid w:val="00615400"/>
    <w:rsid w:val="00630389"/>
    <w:rsid w:val="00630435"/>
    <w:rsid w:val="006319F3"/>
    <w:rsid w:val="0064412D"/>
    <w:rsid w:val="00644CC9"/>
    <w:rsid w:val="0064548D"/>
    <w:rsid w:val="00647BB4"/>
    <w:rsid w:val="006632CD"/>
    <w:rsid w:val="0066589D"/>
    <w:rsid w:val="006752DD"/>
    <w:rsid w:val="00682D7D"/>
    <w:rsid w:val="00694963"/>
    <w:rsid w:val="006A09FA"/>
    <w:rsid w:val="006A4C9E"/>
    <w:rsid w:val="006B0631"/>
    <w:rsid w:val="006B2239"/>
    <w:rsid w:val="006C3121"/>
    <w:rsid w:val="006C3225"/>
    <w:rsid w:val="006D111F"/>
    <w:rsid w:val="006D2A9A"/>
    <w:rsid w:val="006D4FE2"/>
    <w:rsid w:val="006F0414"/>
    <w:rsid w:val="006F610C"/>
    <w:rsid w:val="006F6484"/>
    <w:rsid w:val="007029FB"/>
    <w:rsid w:val="00705A3B"/>
    <w:rsid w:val="0070629F"/>
    <w:rsid w:val="007073EF"/>
    <w:rsid w:val="0071205C"/>
    <w:rsid w:val="0071295E"/>
    <w:rsid w:val="007162C8"/>
    <w:rsid w:val="0073072C"/>
    <w:rsid w:val="007327F6"/>
    <w:rsid w:val="00732D80"/>
    <w:rsid w:val="007403F9"/>
    <w:rsid w:val="00740A99"/>
    <w:rsid w:val="00745A9F"/>
    <w:rsid w:val="00752A14"/>
    <w:rsid w:val="00753EBD"/>
    <w:rsid w:val="007543D7"/>
    <w:rsid w:val="00763A39"/>
    <w:rsid w:val="00764026"/>
    <w:rsid w:val="007641F7"/>
    <w:rsid w:val="00764994"/>
    <w:rsid w:val="00764C7E"/>
    <w:rsid w:val="007670E7"/>
    <w:rsid w:val="00774E51"/>
    <w:rsid w:val="00774F62"/>
    <w:rsid w:val="00780778"/>
    <w:rsid w:val="00780FFF"/>
    <w:rsid w:val="0078644E"/>
    <w:rsid w:val="00792D55"/>
    <w:rsid w:val="007A333B"/>
    <w:rsid w:val="007B4F0B"/>
    <w:rsid w:val="007C3B2D"/>
    <w:rsid w:val="007C3B3E"/>
    <w:rsid w:val="007D0C1A"/>
    <w:rsid w:val="007E5145"/>
    <w:rsid w:val="007E5B42"/>
    <w:rsid w:val="007E6F85"/>
    <w:rsid w:val="007F6D78"/>
    <w:rsid w:val="00803E6D"/>
    <w:rsid w:val="00807F35"/>
    <w:rsid w:val="008176E7"/>
    <w:rsid w:val="00821D67"/>
    <w:rsid w:val="0082308F"/>
    <w:rsid w:val="00823E5D"/>
    <w:rsid w:val="00834D04"/>
    <w:rsid w:val="00843A86"/>
    <w:rsid w:val="008506AA"/>
    <w:rsid w:val="00854F2D"/>
    <w:rsid w:val="00861F6B"/>
    <w:rsid w:val="00863837"/>
    <w:rsid w:val="00867262"/>
    <w:rsid w:val="00867AFC"/>
    <w:rsid w:val="008726F5"/>
    <w:rsid w:val="00872907"/>
    <w:rsid w:val="00875608"/>
    <w:rsid w:val="00890E46"/>
    <w:rsid w:val="008912E7"/>
    <w:rsid w:val="00894061"/>
    <w:rsid w:val="008975BC"/>
    <w:rsid w:val="00897BB5"/>
    <w:rsid w:val="008B167E"/>
    <w:rsid w:val="008B2D0E"/>
    <w:rsid w:val="008B54A1"/>
    <w:rsid w:val="008C75BE"/>
    <w:rsid w:val="008D3A2E"/>
    <w:rsid w:val="008E676A"/>
    <w:rsid w:val="008F4CD5"/>
    <w:rsid w:val="0090176E"/>
    <w:rsid w:val="009030B4"/>
    <w:rsid w:val="00907C1E"/>
    <w:rsid w:val="009124AE"/>
    <w:rsid w:val="009179DB"/>
    <w:rsid w:val="0092153A"/>
    <w:rsid w:val="00924860"/>
    <w:rsid w:val="009279E6"/>
    <w:rsid w:val="009315DD"/>
    <w:rsid w:val="0093793C"/>
    <w:rsid w:val="00946C9A"/>
    <w:rsid w:val="0095142E"/>
    <w:rsid w:val="009534D6"/>
    <w:rsid w:val="00953A0F"/>
    <w:rsid w:val="009618BA"/>
    <w:rsid w:val="00961BFF"/>
    <w:rsid w:val="00963B9F"/>
    <w:rsid w:val="00965D22"/>
    <w:rsid w:val="00972C75"/>
    <w:rsid w:val="00976A99"/>
    <w:rsid w:val="00977B47"/>
    <w:rsid w:val="00981C7E"/>
    <w:rsid w:val="00981E6B"/>
    <w:rsid w:val="0098293C"/>
    <w:rsid w:val="00982DE5"/>
    <w:rsid w:val="00984B4C"/>
    <w:rsid w:val="009852AF"/>
    <w:rsid w:val="0098574E"/>
    <w:rsid w:val="00993F31"/>
    <w:rsid w:val="00994BD9"/>
    <w:rsid w:val="00995CDE"/>
    <w:rsid w:val="00996C61"/>
    <w:rsid w:val="009A1315"/>
    <w:rsid w:val="009B62CB"/>
    <w:rsid w:val="009B7C6C"/>
    <w:rsid w:val="009C1E1C"/>
    <w:rsid w:val="009C36B0"/>
    <w:rsid w:val="009C36B4"/>
    <w:rsid w:val="009C42D0"/>
    <w:rsid w:val="009D341D"/>
    <w:rsid w:val="009D3A30"/>
    <w:rsid w:val="009E3EFC"/>
    <w:rsid w:val="00A04083"/>
    <w:rsid w:val="00A1047D"/>
    <w:rsid w:val="00A14E67"/>
    <w:rsid w:val="00A20D50"/>
    <w:rsid w:val="00A247CC"/>
    <w:rsid w:val="00A33C2D"/>
    <w:rsid w:val="00A34676"/>
    <w:rsid w:val="00A35942"/>
    <w:rsid w:val="00A37E8F"/>
    <w:rsid w:val="00A511B7"/>
    <w:rsid w:val="00A53F07"/>
    <w:rsid w:val="00A567BF"/>
    <w:rsid w:val="00A57189"/>
    <w:rsid w:val="00A60DDA"/>
    <w:rsid w:val="00A61E83"/>
    <w:rsid w:val="00A61E9D"/>
    <w:rsid w:val="00A6546D"/>
    <w:rsid w:val="00A65E72"/>
    <w:rsid w:val="00A76060"/>
    <w:rsid w:val="00A77F7A"/>
    <w:rsid w:val="00A800C6"/>
    <w:rsid w:val="00A84B33"/>
    <w:rsid w:val="00A96244"/>
    <w:rsid w:val="00A96D61"/>
    <w:rsid w:val="00AA293E"/>
    <w:rsid w:val="00AB27AB"/>
    <w:rsid w:val="00AB2D17"/>
    <w:rsid w:val="00AB44EC"/>
    <w:rsid w:val="00AC2B7C"/>
    <w:rsid w:val="00AC656C"/>
    <w:rsid w:val="00AD2A9B"/>
    <w:rsid w:val="00AD625A"/>
    <w:rsid w:val="00AE0DCF"/>
    <w:rsid w:val="00AE78F9"/>
    <w:rsid w:val="00AF24B6"/>
    <w:rsid w:val="00AF71BE"/>
    <w:rsid w:val="00B03FE9"/>
    <w:rsid w:val="00B06811"/>
    <w:rsid w:val="00B06B98"/>
    <w:rsid w:val="00B06E9D"/>
    <w:rsid w:val="00B14D04"/>
    <w:rsid w:val="00B22532"/>
    <w:rsid w:val="00B227D2"/>
    <w:rsid w:val="00B2349E"/>
    <w:rsid w:val="00B3327F"/>
    <w:rsid w:val="00B33B85"/>
    <w:rsid w:val="00B34211"/>
    <w:rsid w:val="00B7309B"/>
    <w:rsid w:val="00B914B2"/>
    <w:rsid w:val="00B94CB7"/>
    <w:rsid w:val="00B96F0A"/>
    <w:rsid w:val="00BA2F55"/>
    <w:rsid w:val="00BB4D45"/>
    <w:rsid w:val="00BC3011"/>
    <w:rsid w:val="00BD4464"/>
    <w:rsid w:val="00BD5561"/>
    <w:rsid w:val="00BD792F"/>
    <w:rsid w:val="00BF3C80"/>
    <w:rsid w:val="00BF4EC7"/>
    <w:rsid w:val="00C02017"/>
    <w:rsid w:val="00C02718"/>
    <w:rsid w:val="00C05F82"/>
    <w:rsid w:val="00C076A1"/>
    <w:rsid w:val="00C11580"/>
    <w:rsid w:val="00C175DD"/>
    <w:rsid w:val="00C33563"/>
    <w:rsid w:val="00C4139F"/>
    <w:rsid w:val="00C67317"/>
    <w:rsid w:val="00C71284"/>
    <w:rsid w:val="00C7527D"/>
    <w:rsid w:val="00C8101A"/>
    <w:rsid w:val="00C8214E"/>
    <w:rsid w:val="00C83B8D"/>
    <w:rsid w:val="00C86032"/>
    <w:rsid w:val="00C860A4"/>
    <w:rsid w:val="00C90607"/>
    <w:rsid w:val="00C94DE9"/>
    <w:rsid w:val="00CA7A78"/>
    <w:rsid w:val="00CB25C5"/>
    <w:rsid w:val="00CB3B6C"/>
    <w:rsid w:val="00CB64F0"/>
    <w:rsid w:val="00CB7142"/>
    <w:rsid w:val="00CC4EF4"/>
    <w:rsid w:val="00CE5EA1"/>
    <w:rsid w:val="00D02719"/>
    <w:rsid w:val="00D161C1"/>
    <w:rsid w:val="00D41FE8"/>
    <w:rsid w:val="00D442C1"/>
    <w:rsid w:val="00D57339"/>
    <w:rsid w:val="00D64CF1"/>
    <w:rsid w:val="00D75D19"/>
    <w:rsid w:val="00D75EC8"/>
    <w:rsid w:val="00D75F0B"/>
    <w:rsid w:val="00D7669C"/>
    <w:rsid w:val="00D76EA2"/>
    <w:rsid w:val="00D805FD"/>
    <w:rsid w:val="00D8505C"/>
    <w:rsid w:val="00D87B43"/>
    <w:rsid w:val="00D87B66"/>
    <w:rsid w:val="00D9736B"/>
    <w:rsid w:val="00DA1E66"/>
    <w:rsid w:val="00DB0CDA"/>
    <w:rsid w:val="00DB7A98"/>
    <w:rsid w:val="00DC067F"/>
    <w:rsid w:val="00DC60DD"/>
    <w:rsid w:val="00DD5D60"/>
    <w:rsid w:val="00DD6916"/>
    <w:rsid w:val="00DD6E9B"/>
    <w:rsid w:val="00DE06B3"/>
    <w:rsid w:val="00DF7411"/>
    <w:rsid w:val="00E0603F"/>
    <w:rsid w:val="00E078A6"/>
    <w:rsid w:val="00E10D02"/>
    <w:rsid w:val="00E10F7B"/>
    <w:rsid w:val="00E11A73"/>
    <w:rsid w:val="00E169A9"/>
    <w:rsid w:val="00E208DF"/>
    <w:rsid w:val="00E30C9D"/>
    <w:rsid w:val="00E3186A"/>
    <w:rsid w:val="00E3364C"/>
    <w:rsid w:val="00E457F7"/>
    <w:rsid w:val="00E527AE"/>
    <w:rsid w:val="00E5570A"/>
    <w:rsid w:val="00E62C6B"/>
    <w:rsid w:val="00E878E4"/>
    <w:rsid w:val="00E9195D"/>
    <w:rsid w:val="00E93959"/>
    <w:rsid w:val="00E951AE"/>
    <w:rsid w:val="00E97389"/>
    <w:rsid w:val="00E97FC2"/>
    <w:rsid w:val="00EA7062"/>
    <w:rsid w:val="00EB0976"/>
    <w:rsid w:val="00EB2CE1"/>
    <w:rsid w:val="00EB6AD6"/>
    <w:rsid w:val="00EB7E68"/>
    <w:rsid w:val="00EC3A48"/>
    <w:rsid w:val="00EC5F3D"/>
    <w:rsid w:val="00ED0FE0"/>
    <w:rsid w:val="00ED2AD1"/>
    <w:rsid w:val="00ED47A5"/>
    <w:rsid w:val="00ED4E39"/>
    <w:rsid w:val="00EE5983"/>
    <w:rsid w:val="00EE6E20"/>
    <w:rsid w:val="00EF138D"/>
    <w:rsid w:val="00EF294D"/>
    <w:rsid w:val="00F020CA"/>
    <w:rsid w:val="00F061B7"/>
    <w:rsid w:val="00F12153"/>
    <w:rsid w:val="00F14764"/>
    <w:rsid w:val="00F25EA7"/>
    <w:rsid w:val="00F271CC"/>
    <w:rsid w:val="00F311E7"/>
    <w:rsid w:val="00F35E4E"/>
    <w:rsid w:val="00F51083"/>
    <w:rsid w:val="00F51C5D"/>
    <w:rsid w:val="00F53A93"/>
    <w:rsid w:val="00F62EAD"/>
    <w:rsid w:val="00F63D01"/>
    <w:rsid w:val="00F6409F"/>
    <w:rsid w:val="00F720F3"/>
    <w:rsid w:val="00F72894"/>
    <w:rsid w:val="00F73871"/>
    <w:rsid w:val="00F82F43"/>
    <w:rsid w:val="00F9384D"/>
    <w:rsid w:val="00F957FE"/>
    <w:rsid w:val="00F95CA0"/>
    <w:rsid w:val="00F97AA5"/>
    <w:rsid w:val="00FA121E"/>
    <w:rsid w:val="00FA33CF"/>
    <w:rsid w:val="00FB5D77"/>
    <w:rsid w:val="00FC2D8D"/>
    <w:rsid w:val="00FC3FD6"/>
    <w:rsid w:val="00FD31DC"/>
    <w:rsid w:val="00FD6E82"/>
    <w:rsid w:val="00FD7CA9"/>
    <w:rsid w:val="00FE5D93"/>
    <w:rsid w:val="00FE7B32"/>
    <w:rsid w:val="00FF2B52"/>
    <w:rsid w:val="00FF5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94364"/>
  <w15:chartTrackingRefBased/>
  <w15:docId w15:val="{F2066C53-0074-4021-A0B2-005AC02D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9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19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219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061"/>
  </w:style>
  <w:style w:type="paragraph" w:styleId="Footer">
    <w:name w:val="footer"/>
    <w:basedOn w:val="Normal"/>
    <w:link w:val="FooterChar"/>
    <w:uiPriority w:val="99"/>
    <w:unhideWhenUsed/>
    <w:rsid w:val="00894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061"/>
  </w:style>
  <w:style w:type="character" w:styleId="Hyperlink">
    <w:name w:val="Hyperlink"/>
    <w:basedOn w:val="DefaultParagraphFont"/>
    <w:uiPriority w:val="99"/>
    <w:unhideWhenUsed/>
    <w:rsid w:val="00894061"/>
    <w:rPr>
      <w:color w:val="0563C1" w:themeColor="hyperlink"/>
      <w:u w:val="single"/>
    </w:rPr>
  </w:style>
  <w:style w:type="character" w:styleId="UnresolvedMention">
    <w:name w:val="Unresolved Mention"/>
    <w:basedOn w:val="DefaultParagraphFont"/>
    <w:uiPriority w:val="99"/>
    <w:semiHidden/>
    <w:unhideWhenUsed/>
    <w:rsid w:val="00894061"/>
    <w:rPr>
      <w:color w:val="605E5C"/>
      <w:shd w:val="clear" w:color="auto" w:fill="E1DFDD"/>
    </w:rPr>
  </w:style>
  <w:style w:type="paragraph" w:styleId="NoSpacing">
    <w:name w:val="No Spacing"/>
    <w:uiPriority w:val="1"/>
    <w:qFormat/>
    <w:rsid w:val="00894061"/>
    <w:pPr>
      <w:spacing w:after="0" w:line="240" w:lineRule="auto"/>
    </w:pPr>
  </w:style>
  <w:style w:type="paragraph" w:styleId="ListParagraph">
    <w:name w:val="List Paragraph"/>
    <w:basedOn w:val="Normal"/>
    <w:uiPriority w:val="34"/>
    <w:qFormat/>
    <w:rsid w:val="00894061"/>
    <w:pPr>
      <w:ind w:left="720"/>
      <w:contextualSpacing/>
    </w:pPr>
  </w:style>
  <w:style w:type="character" w:customStyle="1" w:styleId="Heading1Char">
    <w:name w:val="Heading 1 Char"/>
    <w:basedOn w:val="DefaultParagraphFont"/>
    <w:link w:val="Heading1"/>
    <w:uiPriority w:val="9"/>
    <w:rsid w:val="0042197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21970"/>
    <w:pPr>
      <w:outlineLvl w:val="9"/>
    </w:pPr>
    <w:rPr>
      <w:lang w:val="en-US"/>
    </w:rPr>
  </w:style>
  <w:style w:type="character" w:customStyle="1" w:styleId="Heading2Char">
    <w:name w:val="Heading 2 Char"/>
    <w:basedOn w:val="DefaultParagraphFont"/>
    <w:link w:val="Heading2"/>
    <w:uiPriority w:val="9"/>
    <w:rsid w:val="00421970"/>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421970"/>
    <w:pPr>
      <w:spacing w:after="100"/>
      <w:ind w:left="220"/>
    </w:pPr>
  </w:style>
  <w:style w:type="character" w:customStyle="1" w:styleId="Heading3Char">
    <w:name w:val="Heading 3 Char"/>
    <w:basedOn w:val="DefaultParagraphFont"/>
    <w:link w:val="Heading3"/>
    <w:uiPriority w:val="9"/>
    <w:rsid w:val="00421970"/>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A84B33"/>
    <w:pPr>
      <w:spacing w:after="100"/>
    </w:pPr>
  </w:style>
  <w:style w:type="paragraph" w:styleId="BalloonText">
    <w:name w:val="Balloon Text"/>
    <w:basedOn w:val="Normal"/>
    <w:link w:val="BalloonTextChar"/>
    <w:uiPriority w:val="99"/>
    <w:semiHidden/>
    <w:unhideWhenUsed/>
    <w:rsid w:val="00113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2C"/>
    <w:rPr>
      <w:rFonts w:ascii="Segoe UI" w:hAnsi="Segoe UI" w:cs="Segoe UI"/>
      <w:sz w:val="18"/>
      <w:szCs w:val="18"/>
    </w:rPr>
  </w:style>
  <w:style w:type="character" w:styleId="FollowedHyperlink">
    <w:name w:val="FollowedHyperlink"/>
    <w:basedOn w:val="DefaultParagraphFont"/>
    <w:uiPriority w:val="99"/>
    <w:semiHidden/>
    <w:unhideWhenUsed/>
    <w:rsid w:val="00E97FC2"/>
    <w:rPr>
      <w:color w:val="954F72" w:themeColor="followedHyperlink"/>
      <w:u w:val="single"/>
    </w:rPr>
  </w:style>
  <w:style w:type="paragraph" w:styleId="NormalWeb">
    <w:name w:val="Normal (Web)"/>
    <w:basedOn w:val="Normal"/>
    <w:uiPriority w:val="99"/>
    <w:semiHidden/>
    <w:unhideWhenUsed/>
    <w:rsid w:val="007129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2D8D"/>
    <w:rPr>
      <w:b/>
      <w:bCs/>
    </w:rPr>
  </w:style>
  <w:style w:type="character" w:styleId="CommentReference">
    <w:name w:val="annotation reference"/>
    <w:basedOn w:val="DefaultParagraphFont"/>
    <w:uiPriority w:val="99"/>
    <w:semiHidden/>
    <w:unhideWhenUsed/>
    <w:rsid w:val="00DC067F"/>
    <w:rPr>
      <w:sz w:val="16"/>
      <w:szCs w:val="16"/>
    </w:rPr>
  </w:style>
  <w:style w:type="paragraph" w:styleId="CommentText">
    <w:name w:val="annotation text"/>
    <w:basedOn w:val="Normal"/>
    <w:link w:val="CommentTextChar"/>
    <w:uiPriority w:val="99"/>
    <w:semiHidden/>
    <w:unhideWhenUsed/>
    <w:rsid w:val="00DC067F"/>
    <w:pPr>
      <w:spacing w:line="240" w:lineRule="auto"/>
    </w:pPr>
    <w:rPr>
      <w:sz w:val="20"/>
      <w:szCs w:val="20"/>
    </w:rPr>
  </w:style>
  <w:style w:type="character" w:customStyle="1" w:styleId="CommentTextChar">
    <w:name w:val="Comment Text Char"/>
    <w:basedOn w:val="DefaultParagraphFont"/>
    <w:link w:val="CommentText"/>
    <w:uiPriority w:val="99"/>
    <w:semiHidden/>
    <w:rsid w:val="00DC067F"/>
    <w:rPr>
      <w:sz w:val="20"/>
      <w:szCs w:val="20"/>
    </w:rPr>
  </w:style>
  <w:style w:type="paragraph" w:styleId="CommentSubject">
    <w:name w:val="annotation subject"/>
    <w:basedOn w:val="CommentText"/>
    <w:next w:val="CommentText"/>
    <w:link w:val="CommentSubjectChar"/>
    <w:uiPriority w:val="99"/>
    <w:semiHidden/>
    <w:unhideWhenUsed/>
    <w:rsid w:val="00DC067F"/>
    <w:rPr>
      <w:b/>
      <w:bCs/>
    </w:rPr>
  </w:style>
  <w:style w:type="character" w:customStyle="1" w:styleId="CommentSubjectChar">
    <w:name w:val="Comment Subject Char"/>
    <w:basedOn w:val="CommentTextChar"/>
    <w:link w:val="CommentSubject"/>
    <w:uiPriority w:val="99"/>
    <w:semiHidden/>
    <w:rsid w:val="00DC06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750828">
      <w:bodyDiv w:val="1"/>
      <w:marLeft w:val="0"/>
      <w:marRight w:val="0"/>
      <w:marTop w:val="0"/>
      <w:marBottom w:val="0"/>
      <w:divBdr>
        <w:top w:val="none" w:sz="0" w:space="0" w:color="auto"/>
        <w:left w:val="none" w:sz="0" w:space="0" w:color="auto"/>
        <w:bottom w:val="none" w:sz="0" w:space="0" w:color="auto"/>
        <w:right w:val="none" w:sz="0" w:space="0" w:color="auto"/>
      </w:divBdr>
    </w:div>
    <w:div w:id="1108237728">
      <w:bodyDiv w:val="1"/>
      <w:marLeft w:val="0"/>
      <w:marRight w:val="0"/>
      <w:marTop w:val="0"/>
      <w:marBottom w:val="9750"/>
      <w:divBdr>
        <w:top w:val="none" w:sz="0" w:space="0" w:color="auto"/>
        <w:left w:val="none" w:sz="0" w:space="0" w:color="auto"/>
        <w:bottom w:val="none" w:sz="0" w:space="0" w:color="auto"/>
        <w:right w:val="none" w:sz="0" w:space="0" w:color="auto"/>
      </w:divBdr>
      <w:divsChild>
        <w:div w:id="1015813967">
          <w:marLeft w:val="0"/>
          <w:marRight w:val="0"/>
          <w:marTop w:val="0"/>
          <w:marBottom w:val="0"/>
          <w:divBdr>
            <w:top w:val="none" w:sz="0" w:space="0" w:color="auto"/>
            <w:left w:val="none" w:sz="0" w:space="0" w:color="auto"/>
            <w:bottom w:val="none" w:sz="0" w:space="0" w:color="auto"/>
            <w:right w:val="none" w:sz="0" w:space="0" w:color="auto"/>
          </w:divBdr>
          <w:divsChild>
            <w:div w:id="1767920060">
              <w:marLeft w:val="0"/>
              <w:marRight w:val="0"/>
              <w:marTop w:val="1"/>
              <w:marBottom w:val="1"/>
              <w:divBdr>
                <w:top w:val="none" w:sz="0" w:space="0" w:color="auto"/>
                <w:left w:val="none" w:sz="0" w:space="0" w:color="auto"/>
                <w:bottom w:val="none" w:sz="0" w:space="0" w:color="auto"/>
                <w:right w:val="none" w:sz="0" w:space="0" w:color="auto"/>
              </w:divBdr>
            </w:div>
          </w:divsChild>
        </w:div>
      </w:divsChild>
    </w:div>
    <w:div w:id="1185483465">
      <w:bodyDiv w:val="1"/>
      <w:marLeft w:val="0"/>
      <w:marRight w:val="0"/>
      <w:marTop w:val="0"/>
      <w:marBottom w:val="0"/>
      <w:divBdr>
        <w:top w:val="none" w:sz="0" w:space="0" w:color="auto"/>
        <w:left w:val="none" w:sz="0" w:space="0" w:color="auto"/>
        <w:bottom w:val="none" w:sz="0" w:space="0" w:color="auto"/>
        <w:right w:val="none" w:sz="0" w:space="0" w:color="auto"/>
      </w:divBdr>
    </w:div>
    <w:div w:id="1432624382">
      <w:bodyDiv w:val="1"/>
      <w:marLeft w:val="0"/>
      <w:marRight w:val="0"/>
      <w:marTop w:val="0"/>
      <w:marBottom w:val="0"/>
      <w:divBdr>
        <w:top w:val="none" w:sz="0" w:space="0" w:color="auto"/>
        <w:left w:val="none" w:sz="0" w:space="0" w:color="auto"/>
        <w:bottom w:val="none" w:sz="0" w:space="0" w:color="auto"/>
        <w:right w:val="none" w:sz="0" w:space="0" w:color="auto"/>
      </w:divBdr>
      <w:divsChild>
        <w:div w:id="673992840">
          <w:marLeft w:val="0"/>
          <w:marRight w:val="0"/>
          <w:marTop w:val="0"/>
          <w:marBottom w:val="0"/>
          <w:divBdr>
            <w:top w:val="none" w:sz="0" w:space="0" w:color="auto"/>
            <w:left w:val="none" w:sz="0" w:space="0" w:color="auto"/>
            <w:bottom w:val="none" w:sz="0" w:space="0" w:color="auto"/>
            <w:right w:val="none" w:sz="0" w:space="0" w:color="auto"/>
          </w:divBdr>
        </w:div>
      </w:divsChild>
    </w:div>
    <w:div w:id="1831486961">
      <w:bodyDiv w:val="1"/>
      <w:marLeft w:val="0"/>
      <w:marRight w:val="0"/>
      <w:marTop w:val="0"/>
      <w:marBottom w:val="0"/>
      <w:divBdr>
        <w:top w:val="none" w:sz="0" w:space="0" w:color="auto"/>
        <w:left w:val="none" w:sz="0" w:space="0" w:color="auto"/>
        <w:bottom w:val="none" w:sz="0" w:space="0" w:color="auto"/>
        <w:right w:val="none" w:sz="0" w:space="0" w:color="auto"/>
      </w:divBdr>
    </w:div>
    <w:div w:id="1963077902">
      <w:bodyDiv w:val="1"/>
      <w:marLeft w:val="0"/>
      <w:marRight w:val="0"/>
      <w:marTop w:val="0"/>
      <w:marBottom w:val="0"/>
      <w:divBdr>
        <w:top w:val="none" w:sz="0" w:space="0" w:color="auto"/>
        <w:left w:val="none" w:sz="0" w:space="0" w:color="auto"/>
        <w:bottom w:val="none" w:sz="0" w:space="0" w:color="auto"/>
        <w:right w:val="none" w:sz="0" w:space="0" w:color="auto"/>
      </w:divBdr>
    </w:div>
    <w:div w:id="2013557190">
      <w:bodyDiv w:val="1"/>
      <w:marLeft w:val="0"/>
      <w:marRight w:val="0"/>
      <w:marTop w:val="0"/>
      <w:marBottom w:val="0"/>
      <w:divBdr>
        <w:top w:val="none" w:sz="0" w:space="0" w:color="auto"/>
        <w:left w:val="none" w:sz="0" w:space="0" w:color="auto"/>
        <w:bottom w:val="none" w:sz="0" w:space="0" w:color="auto"/>
        <w:right w:val="none" w:sz="0" w:space="0" w:color="auto"/>
      </w:divBdr>
      <w:divsChild>
        <w:div w:id="1135297848">
          <w:marLeft w:val="0"/>
          <w:marRight w:val="0"/>
          <w:marTop w:val="0"/>
          <w:marBottom w:val="0"/>
          <w:divBdr>
            <w:top w:val="none" w:sz="0" w:space="0" w:color="auto"/>
            <w:left w:val="none" w:sz="0" w:space="0" w:color="auto"/>
            <w:bottom w:val="none" w:sz="0" w:space="0" w:color="auto"/>
            <w:right w:val="none" w:sz="0" w:space="0" w:color="auto"/>
          </w:divBdr>
        </w:div>
        <w:div w:id="1693334232">
          <w:marLeft w:val="0"/>
          <w:marRight w:val="0"/>
          <w:marTop w:val="0"/>
          <w:marBottom w:val="0"/>
          <w:divBdr>
            <w:top w:val="none" w:sz="0" w:space="0" w:color="auto"/>
            <w:left w:val="none" w:sz="0" w:space="0" w:color="auto"/>
            <w:bottom w:val="none" w:sz="0" w:space="0" w:color="auto"/>
            <w:right w:val="none" w:sz="0" w:space="0" w:color="auto"/>
          </w:divBdr>
        </w:div>
      </w:divsChild>
    </w:div>
    <w:div w:id="204131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remediation-of-non-acm-buildings" TargetMode="External"/><Relationship Id="rId18" Type="http://schemas.openxmlformats.org/officeDocument/2006/relationships/hyperlink" Target="https://www.nao.org.uk/wp-content/uploads/2021/09/Regulation-of-private-renting.pdf" TargetMode="External"/><Relationship Id="rId26" Type="http://schemas.openxmlformats.org/officeDocument/2006/relationships/hyperlink" Target="https://www.gov.uk/government/statistics/rough-sleeping-snapshot-in-england-autumn-2021/rough-sleeping-snapshot-in-england-autumn-2021" TargetMode="External"/><Relationship Id="rId3" Type="http://schemas.openxmlformats.org/officeDocument/2006/relationships/styles" Target="styles.xml"/><Relationship Id="rId21" Type="http://schemas.openxmlformats.org/officeDocument/2006/relationships/hyperlink" Target="https://forms.office.com/pages/responsepage.aspx?id=EGg0v32c3kOociSi7zmVqM6bzhedg7pCnP-lY5nd481UQk9ROVFCQ0pLV1oxQUpaNDRZUlNLWDhZQy4u" TargetMode="External"/><Relationship Id="rId7" Type="http://schemas.openxmlformats.org/officeDocument/2006/relationships/endnotes" Target="endnotes.xml"/><Relationship Id="rId12" Type="http://schemas.openxmlformats.org/officeDocument/2006/relationships/hyperlink" Target="https://www.gov.uk/government/publications/understanding-the-possession-action-process-guidance-for-landlords-and-tenants" TargetMode="External"/><Relationship Id="rId17" Type="http://schemas.openxmlformats.org/officeDocument/2006/relationships/hyperlink" Target="https://www.ons.gov.uk/economy/inflationandpriceindices/articles/comparingmeasuresofprivaterentalgrowthintheuk/januarytodecember2021" TargetMode="External"/><Relationship Id="rId25" Type="http://schemas.openxmlformats.org/officeDocument/2006/relationships/hyperlink" Target="https://www.crisis.org.uk/about-us/media-centre/we-are-expecting-a-tidal-wave-councils-warn-of-rising-homelessness-as-financial-pandemic-protections-are-pulled-bac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ns.gov.uk/economy/inflationandpriceindices/bulletins/indexofprivatehousingrentalprices/december2021" TargetMode="External"/><Relationship Id="rId20" Type="http://schemas.openxmlformats.org/officeDocument/2006/relationships/hyperlink" Target="https://assets.publishing.service.gov.uk/government/uploads/system/uploads/attachment_data/file/1050940/28-01-22_Letter_from_DLUHC_SoS_to_CMA__FCA_Chief_Executives.pdf" TargetMode="External"/><Relationship Id="rId29" Type="http://schemas.openxmlformats.org/officeDocument/2006/relationships/hyperlink" Target="https://publications.parliament.uk/pa/bills/cbill/58-02/0142/21014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briefings.files.parliament.uk/documents/CBP-8395/CBP-8395.pdf" TargetMode="External"/><Relationship Id="rId24" Type="http://schemas.openxmlformats.org/officeDocument/2006/relationships/hyperlink" Target="https://www.gov.uk/government/statistics/mortgage-and-landlord-possession-statistics-october-to-december-2021/mortgage-and-landlord-possession-statistics-october-to-december-202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news/new-digital-identity-checking-for-landlords-and-employers-to-tackle-immigration-abuse" TargetMode="External"/><Relationship Id="rId23" Type="http://schemas.openxmlformats.org/officeDocument/2006/relationships/hyperlink" Target="https://www.gov.uk/government/publications/levelling-up-the-united-kingdom" TargetMode="External"/><Relationship Id="rId28" Type="http://schemas.openxmlformats.org/officeDocument/2006/relationships/hyperlink" Target="https://www.gov.uk/government/publications/police-crime-sentencing-and-courts-bill-2021-factsheets/police-crime-sentencing-and-courts-bill-2021-repeal-of-the-vagrancy-act-1824-factsheet" TargetMode="External"/><Relationship Id="rId10" Type="http://schemas.openxmlformats.org/officeDocument/2006/relationships/hyperlink" Target="https://assets.publishing.service.gov.uk/government/uploads/system/uploads/attachment_data/file/1045412/Letter_to_Residential_Property_Developer_Industry.pdf" TargetMode="External"/><Relationship Id="rId19" Type="http://schemas.openxmlformats.org/officeDocument/2006/relationships/hyperlink" Target="https://www.nrla.org.uk/news/poll-reveals-damage-of-benefit-cuts-to-renter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mmonslibrary.parliament.uk/research-briefings/cbp-8658/" TargetMode="External"/><Relationship Id="rId14" Type="http://schemas.openxmlformats.org/officeDocument/2006/relationships/hyperlink" Target="https://assets.publishing.service.gov.uk/government/uploads/system/uploads/attachment_data/file/1049251/22-01-22_Letter_to_CPA_from_DLUHC_SoS.pdf" TargetMode="External"/><Relationship Id="rId22" Type="http://schemas.openxmlformats.org/officeDocument/2006/relationships/hyperlink" Target="https://www.ons.gov.uk/peoplepopulationandcommunity/housing/articles/researchoutputssubnationaldwellingstockbytenureestimatesengland2012to2015/2020" TargetMode="External"/><Relationship Id="rId27" Type="http://schemas.openxmlformats.org/officeDocument/2006/relationships/hyperlink" Target="https://commonslibrary.parliament.uk/type/research-briefing/" TargetMode="External"/><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E664E-7755-44FB-871F-29418A06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4101</Words>
  <Characters>23382</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Bedford</dc:creator>
  <cp:keywords/>
  <dc:description/>
  <cp:lastModifiedBy>Jo Ellis</cp:lastModifiedBy>
  <cp:revision>2</cp:revision>
  <dcterms:created xsi:type="dcterms:W3CDTF">2022-03-23T11:27:00Z</dcterms:created>
  <dcterms:modified xsi:type="dcterms:W3CDTF">2022-03-23T11:27:00Z</dcterms:modified>
</cp:coreProperties>
</file>