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56F" w14:textId="1F02CA5F" w:rsidR="005630EE" w:rsidRPr="0038332A" w:rsidRDefault="00A871E9" w:rsidP="0038332A">
      <w:pPr>
        <w:jc w:val="center"/>
        <w:rPr>
          <w:b/>
          <w:bCs/>
          <w:u w:val="single"/>
        </w:rPr>
      </w:pPr>
      <w:r w:rsidRPr="0038332A">
        <w:rPr>
          <w:b/>
          <w:bCs/>
          <w:u w:val="single"/>
        </w:rPr>
        <w:t>Referral partner</w:t>
      </w:r>
      <w:r w:rsidR="0038332A" w:rsidRPr="0038332A">
        <w:rPr>
          <w:b/>
          <w:bCs/>
          <w:u w:val="single"/>
        </w:rPr>
        <w:t xml:space="preserve"> guide</w:t>
      </w:r>
    </w:p>
    <w:p w14:paraId="3C0B8BC1" w14:textId="44FC3EA4" w:rsidR="00A871E9" w:rsidRPr="00190144" w:rsidRDefault="00A871E9" w:rsidP="00190144">
      <w:pPr>
        <w:pStyle w:val="Heading2"/>
      </w:pPr>
      <w:r w:rsidRPr="00190144">
        <w:t>Overview</w:t>
      </w:r>
    </w:p>
    <w:p w14:paraId="0B5F60EC" w14:textId="66667AB1" w:rsidR="00A871E9" w:rsidRDefault="00A871E9">
      <w:r>
        <w:t xml:space="preserve">The LBTH food pantry programme is operating </w:t>
      </w:r>
      <w:proofErr w:type="gramStart"/>
      <w:r>
        <w:t>a number of</w:t>
      </w:r>
      <w:proofErr w:type="gramEnd"/>
      <w:r>
        <w:t xml:space="preserve"> FOOD Stores across the borough, which you can refer into in cases of</w:t>
      </w:r>
      <w:r w:rsidR="00481231">
        <w:t xml:space="preserve"> long-term</w:t>
      </w:r>
      <w:r>
        <w:t xml:space="preserve"> food insecurity.</w:t>
      </w:r>
      <w:r w:rsidR="000B3751">
        <w:t xml:space="preserve"> People in need of support</w:t>
      </w:r>
      <w:r>
        <w:t xml:space="preserve"> will be able to apply to be members of </w:t>
      </w:r>
      <w:r w:rsidR="00894F9D">
        <w:t>the FOOD Store</w:t>
      </w:r>
      <w:r>
        <w:t>, and in return for a small</w:t>
      </w:r>
      <w:r w:rsidR="00433A75">
        <w:t xml:space="preserve"> weekly</w:t>
      </w:r>
      <w:r>
        <w:t xml:space="preserve"> fee will be able to access a significant quantity of repurposed food while also engaging with wraparound support.</w:t>
      </w:r>
      <w:r w:rsidR="00A54733">
        <w:t xml:space="preserve"> </w:t>
      </w:r>
    </w:p>
    <w:p w14:paraId="5C4EA419" w14:textId="0E2CDA64" w:rsidR="00A871E9" w:rsidRPr="00DC2AC7" w:rsidRDefault="00433A75" w:rsidP="00190144">
      <w:pPr>
        <w:pStyle w:val="Heading2"/>
      </w:pPr>
      <w:r w:rsidRPr="00DC2AC7">
        <w:t>What are FOOD Stores?</w:t>
      </w:r>
    </w:p>
    <w:p w14:paraId="69C2F7FB" w14:textId="0ECBC313" w:rsidR="00433A75" w:rsidRDefault="00433A75">
      <w:r>
        <w:t>FOOD Stores build on the food pantry model of delivering</w:t>
      </w:r>
      <w:r w:rsidR="00521918">
        <w:t xml:space="preserve"> long term</w:t>
      </w:r>
      <w:r>
        <w:t xml:space="preserve"> support to people who are food insecure. Unlike food banks, where people access limited free food to support them in a crisis, FOOD Stores work over a </w:t>
      </w:r>
      <w:r w:rsidR="005E712D">
        <w:t>membership period (</w:t>
      </w:r>
      <w:r>
        <w:t>typically 6 months) and offer people £20-£30 of food</w:t>
      </w:r>
      <w:r w:rsidR="000B3751">
        <w:t xml:space="preserve"> per week</w:t>
      </w:r>
      <w:r>
        <w:t xml:space="preserve"> in return for a £3.50</w:t>
      </w:r>
      <w:r w:rsidR="000B3751">
        <w:t>p/w membership fee</w:t>
      </w:r>
      <w:r>
        <w:t>. A</w:t>
      </w:r>
      <w:r w:rsidR="006542E5">
        <w:t>s a condition of membership,</w:t>
      </w:r>
      <w:r>
        <w:t xml:space="preserve"> members are also</w:t>
      </w:r>
      <w:r w:rsidR="006542E5">
        <w:t xml:space="preserve"> expected to engage with</w:t>
      </w:r>
      <w:r>
        <w:t xml:space="preserve"> support provisions </w:t>
      </w:r>
      <w:r w:rsidR="006542E5">
        <w:t>designed to improve their c</w:t>
      </w:r>
      <w:r w:rsidR="00A926D9">
        <w:t xml:space="preserve">ircumstances </w:t>
      </w:r>
      <w:r>
        <w:t>– including advice services</w:t>
      </w:r>
      <w:r w:rsidR="007604DB">
        <w:t xml:space="preserve"> in the THCAN network</w:t>
      </w:r>
      <w:r>
        <w:t>, health and wellbeing services and other means of improving the wellbeing of members.</w:t>
      </w:r>
    </w:p>
    <w:p w14:paraId="0BDFBF5C" w14:textId="62A4FC48" w:rsidR="00433A75" w:rsidRDefault="00433A75">
      <w:r>
        <w:t xml:space="preserve">The idea of the FOOD </w:t>
      </w:r>
      <w:r w:rsidR="00B10452">
        <w:t xml:space="preserve">Store </w:t>
      </w:r>
      <w:r>
        <w:t xml:space="preserve">model is to meet the immediate need of people who are food insecure through weekly food, address the root cause issues that create food poverty through support services, and provide </w:t>
      </w:r>
      <w:r w:rsidR="007604DB">
        <w:t xml:space="preserve">individual </w:t>
      </w:r>
      <w:r>
        <w:t>dignity by lowering the financial barriers to providing for themselves and their families.</w:t>
      </w:r>
    </w:p>
    <w:p w14:paraId="617A8661" w14:textId="6B992B0B" w:rsidR="00DC2AC7" w:rsidRPr="00DC2AC7" w:rsidRDefault="00DC2AC7" w:rsidP="00190144">
      <w:pPr>
        <w:pStyle w:val="Heading2"/>
      </w:pPr>
      <w:r w:rsidRPr="00DC2AC7">
        <w:t>How does it work?</w:t>
      </w:r>
    </w:p>
    <w:p w14:paraId="4176E26A" w14:textId="13AB713F" w:rsidR="00DC2AC7" w:rsidRDefault="00DC2AC7">
      <w:r>
        <w:t xml:space="preserve">Each week </w:t>
      </w:r>
      <w:r w:rsidR="003542BE">
        <w:t xml:space="preserve">a member will be able to go to their </w:t>
      </w:r>
      <w:r w:rsidR="00872AF3">
        <w:t xml:space="preserve">local </w:t>
      </w:r>
      <w:r w:rsidR="003542BE">
        <w:t xml:space="preserve">FOOD Store. They will pay £3.50 and then shop from the items available (either browsing individually or </w:t>
      </w:r>
      <w:r w:rsidR="00441D01">
        <w:t>wit</w:t>
      </w:r>
      <w:r w:rsidR="00405BAD">
        <w:t>h a volunteering helping them to select items)</w:t>
      </w:r>
      <w:r w:rsidR="00F048E2">
        <w:t xml:space="preserve"> to a value of</w:t>
      </w:r>
      <w:r w:rsidR="00872AF3">
        <w:t xml:space="preserve"> approximately</w:t>
      </w:r>
      <w:r w:rsidR="00F048E2">
        <w:t xml:space="preserve"> £20-£30 dependent on stock</w:t>
      </w:r>
      <w:r w:rsidR="00405BAD">
        <w:t>.</w:t>
      </w:r>
      <w:r w:rsidR="00846394">
        <w:t xml:space="preserve"> </w:t>
      </w:r>
      <w:r w:rsidR="00CD4509">
        <w:t xml:space="preserve"> </w:t>
      </w:r>
    </w:p>
    <w:p w14:paraId="62A5A984" w14:textId="56E2A92A" w:rsidR="00CF7A61" w:rsidRPr="00DC2AC7" w:rsidRDefault="00172A19">
      <w:r>
        <w:t>When they join</w:t>
      </w:r>
      <w:r w:rsidR="00BF2E79">
        <w:t>,</w:t>
      </w:r>
      <w:r>
        <w:t xml:space="preserve"> FOOD Store members will be asked to fill out a questionnaire outlining their </w:t>
      </w:r>
      <w:r w:rsidR="008F47FA">
        <w:t>circumstances</w:t>
      </w:r>
      <w:r w:rsidR="00A926D9">
        <w:t xml:space="preserve"> and what they need help with</w:t>
      </w:r>
      <w:r w:rsidR="008F47FA">
        <w:t>. This will be used to make referrals to support services</w:t>
      </w:r>
      <w:r w:rsidR="00BF2E79">
        <w:t xml:space="preserve"> covering</w:t>
      </w:r>
      <w:r w:rsidR="008F47FA">
        <w:t xml:space="preserve"> debt, benefits, housing</w:t>
      </w:r>
      <w:r w:rsidR="00BF2E79">
        <w:t xml:space="preserve">, </w:t>
      </w:r>
      <w:proofErr w:type="gramStart"/>
      <w:r w:rsidR="00BF2E79">
        <w:t>health</w:t>
      </w:r>
      <w:proofErr w:type="gramEnd"/>
      <w:r w:rsidR="008F47FA">
        <w:t xml:space="preserve"> and other areas of need</w:t>
      </w:r>
      <w:r w:rsidR="00BF2E79">
        <w:t xml:space="preserve">. </w:t>
      </w:r>
      <w:r w:rsidR="00223916">
        <w:t>E</w:t>
      </w:r>
      <w:r w:rsidR="00BF2E79">
        <w:t>very three months FOOD Store staff</w:t>
      </w:r>
      <w:r w:rsidR="002049B7">
        <w:t xml:space="preserve"> or volunteers</w:t>
      </w:r>
      <w:r w:rsidR="00BF2E79">
        <w:t xml:space="preserve"> will check in to make sure </w:t>
      </w:r>
      <w:r w:rsidR="0027003D">
        <w:t>members</w:t>
      </w:r>
      <w:r w:rsidR="00223916">
        <w:t xml:space="preserve"> </w:t>
      </w:r>
      <w:r w:rsidR="0027003D">
        <w:t xml:space="preserve">are getting the </w:t>
      </w:r>
      <w:r w:rsidR="00223916">
        <w:t xml:space="preserve">support </w:t>
      </w:r>
      <w:r w:rsidR="0027003D">
        <w:t xml:space="preserve">they need </w:t>
      </w:r>
      <w:r w:rsidR="00223916">
        <w:t xml:space="preserve">and to </w:t>
      </w:r>
      <w:r w:rsidR="00163898">
        <w:t>ask</w:t>
      </w:r>
      <w:r w:rsidR="00223916">
        <w:t xml:space="preserve"> if they need </w:t>
      </w:r>
      <w:r w:rsidR="00163898">
        <w:t xml:space="preserve">signposting to </w:t>
      </w:r>
      <w:r w:rsidR="00223916">
        <w:t>any alternative support.</w:t>
      </w:r>
    </w:p>
    <w:p w14:paraId="4EAAE81A" w14:textId="6E1547F8" w:rsidR="00A871E9" w:rsidRPr="00DC2AC7" w:rsidRDefault="00A871E9" w:rsidP="00190144">
      <w:pPr>
        <w:pStyle w:val="Heading2"/>
      </w:pPr>
      <w:r w:rsidRPr="00DC2AC7">
        <w:t>Who can access FOOD Stores?</w:t>
      </w:r>
    </w:p>
    <w:p w14:paraId="11E48EC1" w14:textId="6FD40084" w:rsidR="00827C0A" w:rsidRDefault="00A871E9">
      <w:pPr>
        <w:rPr>
          <w:b/>
          <w:bCs/>
        </w:rPr>
      </w:pPr>
      <w:r>
        <w:t xml:space="preserve">FOOD Stores are designed to help people who are food insecure and </w:t>
      </w:r>
      <w:r w:rsidR="0085257D">
        <w:t>will benefit from</w:t>
      </w:r>
      <w:r>
        <w:t xml:space="preserve"> accessing additional support to improve their circumstances</w:t>
      </w:r>
      <w:r w:rsidR="00481231">
        <w:t xml:space="preserve"> over a long period of time</w:t>
      </w:r>
      <w:r>
        <w:t>.</w:t>
      </w:r>
      <w:r w:rsidR="004B1372">
        <w:t xml:space="preserve"> </w:t>
      </w:r>
      <w:r w:rsidR="001C536D">
        <w:rPr>
          <w:b/>
          <w:bCs/>
        </w:rPr>
        <w:t>Unlike foodbanks t</w:t>
      </w:r>
      <w:r w:rsidR="004B1372" w:rsidRPr="001C536D">
        <w:rPr>
          <w:b/>
          <w:bCs/>
        </w:rPr>
        <w:t xml:space="preserve">hey are not for immediate, </w:t>
      </w:r>
      <w:proofErr w:type="gramStart"/>
      <w:r w:rsidR="004B1372" w:rsidRPr="001C536D">
        <w:rPr>
          <w:b/>
          <w:bCs/>
        </w:rPr>
        <w:t>short term</w:t>
      </w:r>
      <w:proofErr w:type="gramEnd"/>
      <w:r w:rsidR="004B1372" w:rsidRPr="001C536D">
        <w:rPr>
          <w:b/>
          <w:bCs/>
        </w:rPr>
        <w:t xml:space="preserve"> crisis-support</w:t>
      </w:r>
      <w:r w:rsidR="00827C0A">
        <w:rPr>
          <w:b/>
          <w:bCs/>
        </w:rPr>
        <w:t xml:space="preserve"> – instead they are to help support someone for a period of several months until they are able to be self</w:t>
      </w:r>
      <w:r w:rsidR="00163898">
        <w:rPr>
          <w:b/>
          <w:bCs/>
        </w:rPr>
        <w:t>-</w:t>
      </w:r>
      <w:r w:rsidR="00827C0A">
        <w:rPr>
          <w:b/>
          <w:bCs/>
        </w:rPr>
        <w:t>sufficient</w:t>
      </w:r>
      <w:r w:rsidR="004B1372" w:rsidRPr="001C536D">
        <w:rPr>
          <w:b/>
          <w:bCs/>
        </w:rPr>
        <w:t>.</w:t>
      </w:r>
    </w:p>
    <w:p w14:paraId="69B6B4DB" w14:textId="0845481A" w:rsidR="00DD1F4F" w:rsidRDefault="00A871E9">
      <w:r>
        <w:t xml:space="preserve">Someone who is food insecure is unable to </w:t>
      </w:r>
      <w:r w:rsidRPr="00DD1F4F">
        <w:rPr>
          <w:b/>
          <w:bCs/>
        </w:rPr>
        <w:t>regularly</w:t>
      </w:r>
      <w:r>
        <w:t xml:space="preserve"> access </w:t>
      </w:r>
      <w:proofErr w:type="gramStart"/>
      <w:r w:rsidR="00DD1F4F">
        <w:t xml:space="preserve">a </w:t>
      </w:r>
      <w:r w:rsidR="00DD1F4F" w:rsidRPr="00DD1F4F">
        <w:rPr>
          <w:b/>
          <w:bCs/>
        </w:rPr>
        <w:t>sufficient quantity</w:t>
      </w:r>
      <w:r w:rsidR="00DD1F4F">
        <w:rPr>
          <w:b/>
          <w:bCs/>
        </w:rPr>
        <w:t xml:space="preserve"> </w:t>
      </w:r>
      <w:r w:rsidR="00DD1F4F">
        <w:t>of</w:t>
      </w:r>
      <w:proofErr w:type="gramEnd"/>
      <w:r w:rsidR="00DD1F4F">
        <w:t xml:space="preserve"> </w:t>
      </w:r>
      <w:r w:rsidR="00DD1F4F">
        <w:rPr>
          <w:b/>
          <w:bCs/>
        </w:rPr>
        <w:t xml:space="preserve">affordable, nutritious food. </w:t>
      </w:r>
      <w:proofErr w:type="gramStart"/>
      <w:r w:rsidR="00DD1F4F">
        <w:t>In particular FOOD</w:t>
      </w:r>
      <w:proofErr w:type="gramEnd"/>
      <w:r w:rsidR="00DD1F4F">
        <w:t xml:space="preserve"> Stores are set up to support those who cannot access enough affordable, nutritious food because of their financial situation.</w:t>
      </w:r>
      <w:r w:rsidR="00190144">
        <w:t xml:space="preserve"> </w:t>
      </w:r>
      <w:r w:rsidR="00892F9D">
        <w:t xml:space="preserve">A family or individual </w:t>
      </w:r>
      <w:r w:rsidR="00DD1F4F">
        <w:t>who is food insecure:</w:t>
      </w:r>
    </w:p>
    <w:p w14:paraId="5E4044D7" w14:textId="20E07D45" w:rsidR="00DD1F4F" w:rsidRDefault="00DD1F4F" w:rsidP="00DD1F4F">
      <w:pPr>
        <w:pStyle w:val="ListParagraph"/>
        <w:numPr>
          <w:ilvl w:val="0"/>
          <w:numId w:val="1"/>
        </w:numPr>
      </w:pPr>
      <w:r>
        <w:t>May worry that the food they have in the house will run out before they get the money to buy more</w:t>
      </w:r>
    </w:p>
    <w:p w14:paraId="5F328826" w14:textId="14841685" w:rsidR="00DD1F4F" w:rsidRDefault="00DD1F4F" w:rsidP="00DD1F4F">
      <w:pPr>
        <w:pStyle w:val="ListParagraph"/>
        <w:numPr>
          <w:ilvl w:val="0"/>
          <w:numId w:val="1"/>
        </w:numPr>
      </w:pPr>
      <w:r>
        <w:t xml:space="preserve">May </w:t>
      </w:r>
      <w:r w:rsidR="00892F9D">
        <w:t xml:space="preserve">rely on only a few kinds of </w:t>
      </w:r>
      <w:proofErr w:type="gramStart"/>
      <w:r w:rsidR="00892F9D">
        <w:t>low cost</w:t>
      </w:r>
      <w:proofErr w:type="gramEnd"/>
      <w:r w:rsidR="00892F9D">
        <w:t xml:space="preserve"> food to get by, or </w:t>
      </w:r>
      <w:r>
        <w:t>not be able to afford to eat nutritious, balanced meals (particularly when it comes to fresh fruits and vegetables)</w:t>
      </w:r>
    </w:p>
    <w:p w14:paraId="31466AB4" w14:textId="466CBD4A" w:rsidR="00DD1F4F" w:rsidRDefault="00DD1F4F" w:rsidP="00DD1F4F">
      <w:pPr>
        <w:pStyle w:val="ListParagraph"/>
        <w:numPr>
          <w:ilvl w:val="0"/>
          <w:numId w:val="1"/>
        </w:numPr>
      </w:pPr>
      <w:r>
        <w:lastRenderedPageBreak/>
        <w:t>May reduce the size of their meals</w:t>
      </w:r>
      <w:r w:rsidR="00892F9D">
        <w:t>,</w:t>
      </w:r>
      <w:r>
        <w:t xml:space="preserve"> skip meals</w:t>
      </w:r>
      <w:r w:rsidR="00892F9D">
        <w:t>, or eat less than they think they should</w:t>
      </w:r>
      <w:r>
        <w:t xml:space="preserve"> because there is not enough money for food</w:t>
      </w:r>
    </w:p>
    <w:p w14:paraId="3FA74C3B" w14:textId="77777777" w:rsidR="00190144" w:rsidRDefault="00892F9D" w:rsidP="00DD1F4F">
      <w:pPr>
        <w:pStyle w:val="ListParagraph"/>
        <w:numPr>
          <w:ilvl w:val="0"/>
          <w:numId w:val="1"/>
        </w:numPr>
      </w:pPr>
      <w:r>
        <w:t>May not eat when they are hungry, or may loose weight, because there is not enough money for food</w:t>
      </w:r>
    </w:p>
    <w:p w14:paraId="5A567586" w14:textId="31D125E3" w:rsidR="00892F9D" w:rsidRDefault="00892F9D" w:rsidP="00DD1F4F">
      <w:pPr>
        <w:pStyle w:val="ListParagraph"/>
        <w:numPr>
          <w:ilvl w:val="0"/>
          <w:numId w:val="1"/>
        </w:numPr>
      </w:pPr>
      <w:r>
        <w:t xml:space="preserve">May be unable to feed their children, or cut the size of their meals, because there is not enough money for food </w:t>
      </w:r>
    </w:p>
    <w:p w14:paraId="3195FD1D" w14:textId="373348A0" w:rsidR="00A54733" w:rsidRDefault="00326B02" w:rsidP="00190144">
      <w:pPr>
        <w:pStyle w:val="Heading2"/>
      </w:pPr>
      <w:r w:rsidRPr="00326B02">
        <w:t>Where</w:t>
      </w:r>
      <w:r>
        <w:t xml:space="preserve"> are FOOD Stores based</w:t>
      </w:r>
      <w:r w:rsidRPr="00326B02">
        <w:t>?</w:t>
      </w:r>
    </w:p>
    <w:p w14:paraId="33780636" w14:textId="74D4158B" w:rsidR="00326B02" w:rsidRDefault="00326B02" w:rsidP="00A54733">
      <w:r>
        <w:t>FOOD stores have been set up in locations across the borough</w:t>
      </w:r>
      <w:r w:rsidR="00C4384B">
        <w:t xml:space="preserve">, and referrals will be made into people’s nearest location based on postcode and capacity. </w:t>
      </w:r>
      <w:r w:rsidR="00C20BE4">
        <w:t>Full a</w:t>
      </w:r>
      <w:r w:rsidR="00C4384B">
        <w:t>ddresses will be provided to members at the point of referral.</w:t>
      </w:r>
    </w:p>
    <w:p w14:paraId="7FA94BA3" w14:textId="6DCDA455" w:rsidR="00C4384B" w:rsidRDefault="00C4384B" w:rsidP="00A54733">
      <w:r>
        <w:t>Locations:</w:t>
      </w:r>
    </w:p>
    <w:tbl>
      <w:tblPr>
        <w:tblStyle w:val="PlainTable5"/>
        <w:tblW w:w="9154" w:type="dxa"/>
        <w:tblLook w:val="04A0" w:firstRow="1" w:lastRow="0" w:firstColumn="1" w:lastColumn="0" w:noHBand="0" w:noVBand="1"/>
      </w:tblPr>
      <w:tblGrid>
        <w:gridCol w:w="3597"/>
        <w:gridCol w:w="3493"/>
        <w:gridCol w:w="2064"/>
      </w:tblGrid>
      <w:tr w:rsidR="008C39F6" w:rsidRPr="004640CB" w14:paraId="30B4C9CD" w14:textId="77777777" w:rsidTr="00133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9" w:type="dxa"/>
          </w:tcPr>
          <w:p w14:paraId="388FA8B6" w14:textId="77777777" w:rsidR="008C39F6" w:rsidRPr="004640CB" w:rsidRDefault="008C39F6" w:rsidP="001333E5">
            <w:pPr>
              <w:jc w:val="center"/>
              <w:rPr>
                <w:sz w:val="22"/>
              </w:rPr>
            </w:pPr>
            <w:r w:rsidRPr="004640CB">
              <w:rPr>
                <w:sz w:val="22"/>
              </w:rPr>
              <w:t>FOOD Store</w:t>
            </w:r>
          </w:p>
        </w:tc>
        <w:tc>
          <w:tcPr>
            <w:tcW w:w="1990" w:type="dxa"/>
          </w:tcPr>
          <w:p w14:paraId="7A482E79" w14:textId="77777777" w:rsidR="008C39F6" w:rsidRPr="004640CB" w:rsidRDefault="008C39F6" w:rsidP="00133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640CB">
              <w:rPr>
                <w:sz w:val="22"/>
              </w:rPr>
              <w:t>Ward</w:t>
            </w:r>
          </w:p>
        </w:tc>
        <w:tc>
          <w:tcPr>
            <w:tcW w:w="1176" w:type="dxa"/>
          </w:tcPr>
          <w:p w14:paraId="3E2BC86D" w14:textId="77777777" w:rsidR="008C39F6" w:rsidRPr="004640CB" w:rsidRDefault="008C39F6" w:rsidP="00133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640CB">
              <w:rPr>
                <w:sz w:val="22"/>
              </w:rPr>
              <w:t>Postcode</w:t>
            </w:r>
          </w:p>
        </w:tc>
      </w:tr>
      <w:tr w:rsidR="008C39F6" w14:paraId="164D23FB" w14:textId="77777777" w:rsidTr="0013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22AE8CE6" w14:textId="2B494610" w:rsidR="008C39F6" w:rsidRDefault="008C39F6" w:rsidP="001333E5">
            <w:r>
              <w:t>Burdett</w:t>
            </w:r>
          </w:p>
        </w:tc>
        <w:tc>
          <w:tcPr>
            <w:tcW w:w="1990" w:type="dxa"/>
          </w:tcPr>
          <w:p w14:paraId="1D601BB7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 End</w:t>
            </w:r>
          </w:p>
        </w:tc>
        <w:tc>
          <w:tcPr>
            <w:tcW w:w="1176" w:type="dxa"/>
          </w:tcPr>
          <w:p w14:paraId="0B13EBE3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E14 7AW</w:t>
            </w:r>
          </w:p>
        </w:tc>
      </w:tr>
      <w:tr w:rsidR="008C39F6" w14:paraId="497162A8" w14:textId="77777777" w:rsidTr="001333E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286A16B9" w14:textId="5AD75CAC" w:rsidR="008C39F6" w:rsidRDefault="008C39F6" w:rsidP="001333E5">
            <w:proofErr w:type="spellStart"/>
            <w:r>
              <w:t>Manorfield</w:t>
            </w:r>
            <w:proofErr w:type="spellEnd"/>
            <w:r w:rsidR="0085257D">
              <w:t xml:space="preserve"> (school-based)</w:t>
            </w:r>
          </w:p>
        </w:tc>
        <w:tc>
          <w:tcPr>
            <w:tcW w:w="1990" w:type="dxa"/>
          </w:tcPr>
          <w:p w14:paraId="08F67613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Lansbury</w:t>
            </w:r>
          </w:p>
        </w:tc>
        <w:tc>
          <w:tcPr>
            <w:tcW w:w="1176" w:type="dxa"/>
          </w:tcPr>
          <w:p w14:paraId="721C7996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E14 6QD</w:t>
            </w:r>
          </w:p>
        </w:tc>
      </w:tr>
      <w:tr w:rsidR="008C39F6" w14:paraId="3B1B0B04" w14:textId="77777777" w:rsidTr="0013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1DE2A7EA" w14:textId="77777777" w:rsidR="008C39F6" w:rsidRDefault="008C39F6" w:rsidP="001333E5">
            <w:r>
              <w:t>Whitechapel</w:t>
            </w:r>
          </w:p>
        </w:tc>
        <w:tc>
          <w:tcPr>
            <w:tcW w:w="1990" w:type="dxa"/>
          </w:tcPr>
          <w:p w14:paraId="1B509088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Whitechapel</w:t>
            </w:r>
          </w:p>
        </w:tc>
        <w:tc>
          <w:tcPr>
            <w:tcW w:w="1176" w:type="dxa"/>
          </w:tcPr>
          <w:p w14:paraId="7CC560AF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E2B">
              <w:t>E1 1EY</w:t>
            </w:r>
          </w:p>
        </w:tc>
      </w:tr>
      <w:tr w:rsidR="008C39F6" w14:paraId="7A064FE0" w14:textId="77777777" w:rsidTr="001333E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17827298" w14:textId="77777777" w:rsidR="008C39F6" w:rsidRDefault="008C39F6" w:rsidP="001333E5">
            <w:r>
              <w:t>Bethnal Green</w:t>
            </w:r>
          </w:p>
        </w:tc>
        <w:tc>
          <w:tcPr>
            <w:tcW w:w="1990" w:type="dxa"/>
          </w:tcPr>
          <w:p w14:paraId="0272F868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Bethnal Green</w:t>
            </w:r>
          </w:p>
        </w:tc>
        <w:tc>
          <w:tcPr>
            <w:tcW w:w="1176" w:type="dxa"/>
          </w:tcPr>
          <w:p w14:paraId="0FB05054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E2 0NW</w:t>
            </w:r>
          </w:p>
        </w:tc>
      </w:tr>
      <w:tr w:rsidR="008C39F6" w14:paraId="2EB86848" w14:textId="77777777" w:rsidTr="0013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5F333F68" w14:textId="35118B43" w:rsidR="008C39F6" w:rsidRDefault="008C39F6" w:rsidP="001333E5">
            <w:r>
              <w:t>Blackwall</w:t>
            </w:r>
          </w:p>
        </w:tc>
        <w:tc>
          <w:tcPr>
            <w:tcW w:w="1990" w:type="dxa"/>
          </w:tcPr>
          <w:p w14:paraId="4C145C83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Poplar</w:t>
            </w:r>
          </w:p>
        </w:tc>
        <w:tc>
          <w:tcPr>
            <w:tcW w:w="1176" w:type="dxa"/>
          </w:tcPr>
          <w:p w14:paraId="442DDE5D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E14 0GB</w:t>
            </w:r>
          </w:p>
        </w:tc>
      </w:tr>
      <w:tr w:rsidR="008C39F6" w14:paraId="34413E08" w14:textId="77777777" w:rsidTr="001333E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73856B78" w14:textId="7D184CB2" w:rsidR="008C39F6" w:rsidRPr="00495E2B" w:rsidRDefault="008C39F6" w:rsidP="001333E5">
            <w:pPr>
              <w:rPr>
                <w:i w:val="0"/>
                <w:iCs w:val="0"/>
              </w:rPr>
            </w:pPr>
            <w:r>
              <w:t>Bow Cross*</w:t>
            </w:r>
          </w:p>
        </w:tc>
        <w:tc>
          <w:tcPr>
            <w:tcW w:w="1990" w:type="dxa"/>
          </w:tcPr>
          <w:p w14:paraId="6078C836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Bromley North</w:t>
            </w:r>
          </w:p>
        </w:tc>
        <w:tc>
          <w:tcPr>
            <w:tcW w:w="1176" w:type="dxa"/>
          </w:tcPr>
          <w:p w14:paraId="14A5B5EF" w14:textId="77777777" w:rsidR="008C39F6" w:rsidRDefault="008C39F6" w:rsidP="00133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E3 3EY</w:t>
            </w:r>
          </w:p>
        </w:tc>
      </w:tr>
      <w:tr w:rsidR="008C39F6" w14:paraId="11AE42D9" w14:textId="77777777" w:rsidTr="0013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45F59930" w14:textId="2843542F" w:rsidR="008C39F6" w:rsidRDefault="008C39F6" w:rsidP="001333E5">
            <w:r>
              <w:t>Shadwell**</w:t>
            </w:r>
          </w:p>
        </w:tc>
        <w:tc>
          <w:tcPr>
            <w:tcW w:w="1990" w:type="dxa"/>
          </w:tcPr>
          <w:p w14:paraId="7A02AFEF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Shadwell</w:t>
            </w:r>
          </w:p>
        </w:tc>
        <w:tc>
          <w:tcPr>
            <w:tcW w:w="1176" w:type="dxa"/>
          </w:tcPr>
          <w:p w14:paraId="54245A6F" w14:textId="77777777" w:rsidR="008C39F6" w:rsidRDefault="008C39F6" w:rsidP="0013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E1 0AF</w:t>
            </w:r>
          </w:p>
        </w:tc>
      </w:tr>
    </w:tbl>
    <w:p w14:paraId="290D0F72" w14:textId="1624F1BC" w:rsidR="00C4384B" w:rsidRDefault="008C39F6" w:rsidP="00A54733">
      <w:r>
        <w:t xml:space="preserve">* Opening </w:t>
      </w:r>
      <w:r w:rsidR="0060133C">
        <w:t>16 August</w:t>
      </w:r>
      <w:r>
        <w:br/>
        <w:t>**</w:t>
      </w:r>
      <w:r w:rsidR="0060133C">
        <w:t xml:space="preserve"> Opening early September</w:t>
      </w:r>
    </w:p>
    <w:p w14:paraId="346D1534" w14:textId="53AC0E23" w:rsidR="0060133C" w:rsidRDefault="0060133C" w:rsidP="00190144">
      <w:pPr>
        <w:pStyle w:val="Heading2"/>
      </w:pPr>
      <w:r w:rsidRPr="0060133C">
        <w:t>How do I refer in?</w:t>
      </w:r>
    </w:p>
    <w:p w14:paraId="4E18C812" w14:textId="74E693A3" w:rsidR="0060133C" w:rsidRDefault="0060133C" w:rsidP="00A54733">
      <w:r>
        <w:t xml:space="preserve">If you have a client or service user you believe will benefit from accessing the FOOD Store, please email </w:t>
      </w:r>
      <w:hyperlink r:id="rId10" w:history="1">
        <w:r w:rsidR="00E73B2B" w:rsidRPr="00257DD7">
          <w:rPr>
            <w:rStyle w:val="Hyperlink"/>
          </w:rPr>
          <w:t>TheFoodStore@Towerhamlets.gov.uk</w:t>
        </w:r>
      </w:hyperlink>
      <w:r w:rsidR="00E73B2B">
        <w:t xml:space="preserve"> with the following details:</w:t>
      </w:r>
    </w:p>
    <w:p w14:paraId="3033D6DC" w14:textId="5800171E" w:rsidR="00E73B2B" w:rsidRDefault="00E73B2B" w:rsidP="00A54733">
      <w:r>
        <w:t>Name</w:t>
      </w:r>
      <w:r>
        <w:br/>
        <w:t>Address</w:t>
      </w:r>
      <w:r>
        <w:br/>
        <w:t>Postcode</w:t>
      </w:r>
      <w:r>
        <w:br/>
        <w:t>Email Address</w:t>
      </w:r>
      <w:r>
        <w:br/>
        <w:t>Phone Number</w:t>
      </w:r>
    </w:p>
    <w:p w14:paraId="2D1EDE25" w14:textId="39D88312" w:rsidR="0038332A" w:rsidRDefault="0038332A" w:rsidP="00A54733">
      <w:r>
        <w:t>A representative will then email further details including their nearest FOOD Store address, opening times and any additional details they may need to access the service.</w:t>
      </w:r>
    </w:p>
    <w:p w14:paraId="2874F7BD" w14:textId="445115F5" w:rsidR="001C5963" w:rsidRDefault="001C5963" w:rsidP="001C5963">
      <w:pPr>
        <w:pStyle w:val="Heading2"/>
      </w:pPr>
      <w:r>
        <w:t>Additional enquiries?</w:t>
      </w:r>
    </w:p>
    <w:p w14:paraId="04B2E662" w14:textId="5A5BF655" w:rsidR="001C5963" w:rsidRPr="001C5963" w:rsidRDefault="001C5963" w:rsidP="001C5963">
      <w:r>
        <w:t>For any further information</w:t>
      </w:r>
      <w:r w:rsidR="00CC6566">
        <w:t xml:space="preserve"> </w:t>
      </w:r>
      <w:r w:rsidR="00CA1510">
        <w:t>contact</w:t>
      </w:r>
      <w:r>
        <w:t xml:space="preserve"> </w:t>
      </w:r>
      <w:r w:rsidR="00CC6566">
        <w:t>v</w:t>
      </w:r>
      <w:r>
        <w:t>incent.wood@towerhamlets.gov.uk</w:t>
      </w:r>
    </w:p>
    <w:sectPr w:rsidR="001C5963" w:rsidRPr="001C596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86A1" w14:textId="77777777" w:rsidR="00261DDC" w:rsidRDefault="00261DDC" w:rsidP="002A5E5D">
      <w:pPr>
        <w:spacing w:after="0" w:line="240" w:lineRule="auto"/>
      </w:pPr>
      <w:r>
        <w:separator/>
      </w:r>
    </w:p>
  </w:endnote>
  <w:endnote w:type="continuationSeparator" w:id="0">
    <w:p w14:paraId="50229AAA" w14:textId="77777777" w:rsidR="00261DDC" w:rsidRDefault="00261DDC" w:rsidP="002A5E5D">
      <w:pPr>
        <w:spacing w:after="0" w:line="240" w:lineRule="auto"/>
      </w:pPr>
      <w:r>
        <w:continuationSeparator/>
      </w:r>
    </w:p>
  </w:endnote>
  <w:endnote w:type="continuationNotice" w:id="1">
    <w:p w14:paraId="0375C4D2" w14:textId="77777777" w:rsidR="00261DDC" w:rsidRDefault="00261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DEF5" w14:textId="77777777" w:rsidR="00261DDC" w:rsidRDefault="00261DDC" w:rsidP="002A5E5D">
      <w:pPr>
        <w:spacing w:after="0" w:line="240" w:lineRule="auto"/>
      </w:pPr>
      <w:r>
        <w:separator/>
      </w:r>
    </w:p>
  </w:footnote>
  <w:footnote w:type="continuationSeparator" w:id="0">
    <w:p w14:paraId="1137AF0D" w14:textId="77777777" w:rsidR="00261DDC" w:rsidRDefault="00261DDC" w:rsidP="002A5E5D">
      <w:pPr>
        <w:spacing w:after="0" w:line="240" w:lineRule="auto"/>
      </w:pPr>
      <w:r>
        <w:continuationSeparator/>
      </w:r>
    </w:p>
  </w:footnote>
  <w:footnote w:type="continuationNotice" w:id="1">
    <w:p w14:paraId="4C77DC66" w14:textId="77777777" w:rsidR="00261DDC" w:rsidRDefault="00261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4AE4" w14:textId="729B7C04" w:rsidR="002A5E5D" w:rsidRDefault="002A5E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E69BB" wp14:editId="76F6D358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1526345" cy="858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345" cy="8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AE46C" w14:textId="15A92759" w:rsidR="002A5E5D" w:rsidRDefault="002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2C84"/>
    <w:multiLevelType w:val="hybridMultilevel"/>
    <w:tmpl w:val="F4842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4"/>
    <w:rsid w:val="000B3751"/>
    <w:rsid w:val="00163898"/>
    <w:rsid w:val="00172A19"/>
    <w:rsid w:val="00190144"/>
    <w:rsid w:val="001C536D"/>
    <w:rsid w:val="001C5963"/>
    <w:rsid w:val="002049B7"/>
    <w:rsid w:val="00223916"/>
    <w:rsid w:val="00261DDC"/>
    <w:rsid w:val="0027003D"/>
    <w:rsid w:val="002742AE"/>
    <w:rsid w:val="002816CB"/>
    <w:rsid w:val="002A5E5D"/>
    <w:rsid w:val="002C260E"/>
    <w:rsid w:val="00326B02"/>
    <w:rsid w:val="003542BE"/>
    <w:rsid w:val="0038332A"/>
    <w:rsid w:val="00405BAD"/>
    <w:rsid w:val="00433A75"/>
    <w:rsid w:val="00441D01"/>
    <w:rsid w:val="00481231"/>
    <w:rsid w:val="004B1372"/>
    <w:rsid w:val="00521918"/>
    <w:rsid w:val="005630EE"/>
    <w:rsid w:val="00584E41"/>
    <w:rsid w:val="005C6316"/>
    <w:rsid w:val="005E25CA"/>
    <w:rsid w:val="005E712D"/>
    <w:rsid w:val="0060133C"/>
    <w:rsid w:val="0065378D"/>
    <w:rsid w:val="006542E5"/>
    <w:rsid w:val="006E5054"/>
    <w:rsid w:val="007404E2"/>
    <w:rsid w:val="007604DB"/>
    <w:rsid w:val="00790734"/>
    <w:rsid w:val="00827C0A"/>
    <w:rsid w:val="00846394"/>
    <w:rsid w:val="0085257D"/>
    <w:rsid w:val="00872AF3"/>
    <w:rsid w:val="00892F9D"/>
    <w:rsid w:val="00894F9D"/>
    <w:rsid w:val="008C39F6"/>
    <w:rsid w:val="008D4306"/>
    <w:rsid w:val="008F47FA"/>
    <w:rsid w:val="00906223"/>
    <w:rsid w:val="00A54733"/>
    <w:rsid w:val="00A871E9"/>
    <w:rsid w:val="00A926D9"/>
    <w:rsid w:val="00B07547"/>
    <w:rsid w:val="00B10452"/>
    <w:rsid w:val="00B120A4"/>
    <w:rsid w:val="00B53FD6"/>
    <w:rsid w:val="00B91E61"/>
    <w:rsid w:val="00BD4372"/>
    <w:rsid w:val="00BF2E79"/>
    <w:rsid w:val="00C148D1"/>
    <w:rsid w:val="00C20BE4"/>
    <w:rsid w:val="00C20BEC"/>
    <w:rsid w:val="00C250B0"/>
    <w:rsid w:val="00C4384B"/>
    <w:rsid w:val="00C831EC"/>
    <w:rsid w:val="00CA1510"/>
    <w:rsid w:val="00CB4E38"/>
    <w:rsid w:val="00CC6566"/>
    <w:rsid w:val="00CD4509"/>
    <w:rsid w:val="00CF7A61"/>
    <w:rsid w:val="00DC2AC7"/>
    <w:rsid w:val="00DD1F4F"/>
    <w:rsid w:val="00DD331B"/>
    <w:rsid w:val="00E06E47"/>
    <w:rsid w:val="00E73B2B"/>
    <w:rsid w:val="00F048E2"/>
    <w:rsid w:val="00F85C61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E946"/>
  <w15:chartTrackingRefBased/>
  <w15:docId w15:val="{4F635657-91B2-4C87-A843-9F67C32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44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4F"/>
    <w:pPr>
      <w:ind w:left="720"/>
      <w:contextualSpacing/>
    </w:pPr>
  </w:style>
  <w:style w:type="table" w:styleId="PlainTable5">
    <w:name w:val="Plain Table 5"/>
    <w:basedOn w:val="TableNormal"/>
    <w:uiPriority w:val="45"/>
    <w:rsid w:val="008C39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7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B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5D"/>
  </w:style>
  <w:style w:type="paragraph" w:styleId="Footer">
    <w:name w:val="footer"/>
    <w:basedOn w:val="Normal"/>
    <w:link w:val="FooterChar"/>
    <w:uiPriority w:val="99"/>
    <w:unhideWhenUsed/>
    <w:rsid w:val="002A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5D"/>
  </w:style>
  <w:style w:type="character" w:customStyle="1" w:styleId="Heading1Char">
    <w:name w:val="Heading 1 Char"/>
    <w:basedOn w:val="DefaultParagraphFont"/>
    <w:link w:val="Heading1"/>
    <w:uiPriority w:val="9"/>
    <w:rsid w:val="00190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44"/>
    <w:rPr>
      <w:rFonts w:eastAsiaTheme="majorEastAsia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heFoodStore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0264ce47142ad686e332adb2198aeeb4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e9e13097cfb46f7d514068a5dfb1541f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9f8df8-f2dd-4791-8fe4-18e6411abc4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10F007D0-9C7A-4C1A-841A-00D53EA4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BDBA-5066-410E-8591-51FAD4684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B0E79-7832-4E21-B7AA-C882605EFC71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Wood</dc:creator>
  <cp:keywords/>
  <dc:description/>
  <cp:lastModifiedBy>Vincent Wood</cp:lastModifiedBy>
  <cp:revision>54</cp:revision>
  <dcterms:created xsi:type="dcterms:W3CDTF">2022-07-14T09:02:00Z</dcterms:created>
  <dcterms:modified xsi:type="dcterms:W3CDTF">2022-07-21T14:18:00Z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MediaServiceImageTags">
    <vt:lpwstr/>
  </property>
</Properties>
</file>