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497E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7F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0" w14:textId="77777777" w:rsidR="00D94AD9" w:rsidRDefault="00CF4322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D2B4A33" wp14:editId="6D2B4A34">
                <wp:simplePos x="0" y="0"/>
                <wp:positionH relativeFrom="page">
                  <wp:posOffset>558800</wp:posOffset>
                </wp:positionH>
                <wp:positionV relativeFrom="page">
                  <wp:posOffset>1535430</wp:posOffset>
                </wp:positionV>
                <wp:extent cx="6500495" cy="1776095"/>
                <wp:effectExtent l="0" t="0" r="0" b="0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0495" cy="1776095"/>
                          <a:chOff x="881" y="2419"/>
                          <a:chExt cx="10237" cy="2797"/>
                        </a:xfrm>
                        <a:solidFill>
                          <a:srgbClr val="709172"/>
                        </a:solidFill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881" y="2419"/>
                            <a:ext cx="10237" cy="2797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237"/>
                              <a:gd name="T2" fmla="+- 0 5216 2419"/>
                              <a:gd name="T3" fmla="*/ 5216 h 2797"/>
                              <a:gd name="T4" fmla="+- 0 11118 881"/>
                              <a:gd name="T5" fmla="*/ T4 w 10237"/>
                              <a:gd name="T6" fmla="+- 0 5216 2419"/>
                              <a:gd name="T7" fmla="*/ 5216 h 2797"/>
                              <a:gd name="T8" fmla="+- 0 11118 881"/>
                              <a:gd name="T9" fmla="*/ T8 w 10237"/>
                              <a:gd name="T10" fmla="+- 0 2419 2419"/>
                              <a:gd name="T11" fmla="*/ 2419 h 2797"/>
                              <a:gd name="T12" fmla="+- 0 881 881"/>
                              <a:gd name="T13" fmla="*/ T12 w 10237"/>
                              <a:gd name="T14" fmla="+- 0 2419 2419"/>
                              <a:gd name="T15" fmla="*/ 2419 h 2797"/>
                              <a:gd name="T16" fmla="+- 0 881 881"/>
                              <a:gd name="T17" fmla="*/ T16 w 10237"/>
                              <a:gd name="T18" fmla="+- 0 5216 2419"/>
                              <a:gd name="T19" fmla="*/ 5216 h 2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37" h="2797">
                                <a:moveTo>
                                  <a:pt x="0" y="2797"/>
                                </a:moveTo>
                                <a:lnTo>
                                  <a:pt x="10237" y="2797"/>
                                </a:lnTo>
                                <a:lnTo>
                                  <a:pt x="102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41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581A7" id="Group 16" o:spid="_x0000_s1026" style="position:absolute;margin-left:44pt;margin-top:120.9pt;width:511.85pt;height:139.85pt;z-index:-251658240;mso-position-horizontal-relative:page;mso-position-vertical-relative:page" coordorigin="881,2419" coordsize="10237,2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">
                <v:shape id="Freeform 17" o:spid="_x0000_s1027" style="position:absolute;left:881;top:2419;width:10237;height:2797;visibility:visible;mso-wrap-style:square;v-text-anchor:top" coordsize="10237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" path="m,2797r10237,l10237,,,,,2797xe" fillcolor="#574186" stroked="f">
                  <v:path arrowok="t" o:connecttype="custom" o:connectlocs="0,5216;10237,5216;10237,2419;0,2419;0,5216" o:connectangles="0,0,0,0,0"/>
                </v:shape>
                <w10:wrap anchorx="page" anchory="page"/>
              </v:group>
            </w:pict>
          </mc:Fallback>
        </mc:AlternateContent>
      </w:r>
    </w:p>
    <w:p w14:paraId="6D2B4981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2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3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4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5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6" w14:textId="77777777" w:rsidR="00D94AD9" w:rsidRDefault="00D94AD9">
      <w:pPr>
        <w:spacing w:before="15" w:line="280" w:lineRule="exact"/>
        <w:rPr>
          <w:sz w:val="28"/>
          <w:szCs w:val="28"/>
        </w:rPr>
      </w:pPr>
    </w:p>
    <w:p w14:paraId="6D2B4987" w14:textId="77777777" w:rsidR="00D94AD9" w:rsidRDefault="003104AF">
      <w:pPr>
        <w:spacing w:line="700" w:lineRule="exact"/>
        <w:ind w:left="627"/>
        <w:rPr>
          <w:rFonts w:ascii="Calibri" w:eastAsia="Calibri" w:hAnsi="Calibri" w:cs="Calibri"/>
          <w:sz w:val="60"/>
          <w:szCs w:val="60"/>
        </w:rPr>
      </w:pPr>
      <w:r>
        <w:rPr>
          <w:rFonts w:ascii="Calibri"/>
          <w:b/>
          <w:color w:val="FFFFFF"/>
          <w:spacing w:val="9"/>
          <w:sz w:val="60"/>
        </w:rPr>
        <w:t xml:space="preserve">Universal Credit: ‘Untidy Tenancies’ </w:t>
      </w:r>
    </w:p>
    <w:p w14:paraId="6D2B4988" w14:textId="77777777" w:rsidR="00D94AD9" w:rsidRDefault="00D94AD9">
      <w:pPr>
        <w:spacing w:before="4" w:line="130" w:lineRule="exact"/>
        <w:rPr>
          <w:sz w:val="13"/>
          <w:szCs w:val="13"/>
        </w:rPr>
      </w:pPr>
    </w:p>
    <w:p w14:paraId="6D2B4989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A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B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C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D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8E" w14:textId="77777777" w:rsidR="007A2018" w:rsidRDefault="00864C70" w:rsidP="00864C70">
      <w:pPr>
        <w:pStyle w:val="Heading1"/>
        <w:ind w:left="401"/>
        <w:rPr>
          <w:color w:val="231F20"/>
        </w:rPr>
      </w:pPr>
      <w:r>
        <w:rPr>
          <w:color w:val="231F20"/>
        </w:rPr>
        <w:t>C</w:t>
      </w:r>
      <w:r w:rsidR="00AE1449">
        <w:rPr>
          <w:color w:val="231F20"/>
        </w:rPr>
        <w:t>laimant</w:t>
      </w:r>
      <w:r>
        <w:rPr>
          <w:color w:val="231F20"/>
        </w:rPr>
        <w:t>s who are</w:t>
      </w:r>
      <w:r w:rsidR="00AE1449">
        <w:rPr>
          <w:color w:val="231F20"/>
        </w:rPr>
        <w:t xml:space="preserve"> listed as a joint tenant or oc</w:t>
      </w:r>
      <w:r w:rsidR="00927188">
        <w:rPr>
          <w:color w:val="231F20"/>
        </w:rPr>
        <w:t>cupier</w:t>
      </w:r>
      <w:r>
        <w:rPr>
          <w:color w:val="231F20"/>
        </w:rPr>
        <w:t xml:space="preserve"> in their property are facing problems claiming full housing costs when </w:t>
      </w:r>
      <w:r w:rsidR="00927188">
        <w:rPr>
          <w:color w:val="231F20"/>
        </w:rPr>
        <w:t xml:space="preserve">the other tenant </w:t>
      </w:r>
      <w:r w:rsidR="00AE1449">
        <w:rPr>
          <w:color w:val="231F20"/>
        </w:rPr>
        <w:t xml:space="preserve">no longer resides in the property. </w:t>
      </w:r>
      <w:r w:rsidR="00927188">
        <w:rPr>
          <w:color w:val="231F20"/>
        </w:rPr>
        <w:t xml:space="preserve">This most commonly occurs when a couple has separated however other situations where claimants can find they are affected can be when the other tenant has been taken into care or moved out of the country. </w:t>
      </w:r>
    </w:p>
    <w:p w14:paraId="6D2B498F" w14:textId="77777777" w:rsidR="007A2018" w:rsidRDefault="007A2018">
      <w:pPr>
        <w:pStyle w:val="Heading1"/>
        <w:ind w:left="401"/>
        <w:rPr>
          <w:color w:val="231F20"/>
        </w:rPr>
      </w:pPr>
    </w:p>
    <w:p w14:paraId="6D2B4990" w14:textId="77777777" w:rsidR="00D94AD9" w:rsidRDefault="00490FB0" w:rsidP="007A2018">
      <w:pPr>
        <w:pStyle w:val="Heading1"/>
        <w:ind w:left="401"/>
        <w:rPr>
          <w:color w:val="231F20"/>
        </w:rPr>
      </w:pPr>
      <w:r>
        <w:rPr>
          <w:color w:val="231F20"/>
        </w:rPr>
        <w:t xml:space="preserve">Often, the landlord is a social provider and matters can be complicated when a transfer or succession of tenancy is requested and then refused due to the arrears which have already accrued on the claimant’s rent account. </w:t>
      </w:r>
      <w:r w:rsidR="007A2018">
        <w:rPr>
          <w:color w:val="231F20"/>
        </w:rPr>
        <w:t>A</w:t>
      </w:r>
      <w:r>
        <w:rPr>
          <w:color w:val="231F20"/>
        </w:rPr>
        <w:t xml:space="preserve"> </w:t>
      </w:r>
      <w:r w:rsidR="007A2018">
        <w:rPr>
          <w:color w:val="231F20"/>
        </w:rPr>
        <w:t xml:space="preserve">telltale </w:t>
      </w:r>
      <w:r>
        <w:rPr>
          <w:color w:val="231F20"/>
        </w:rPr>
        <w:t xml:space="preserve">symptom of an ‘untidy tenancy’ </w:t>
      </w:r>
      <w:r w:rsidR="00927188">
        <w:rPr>
          <w:color w:val="231F20"/>
        </w:rPr>
        <w:t>will</w:t>
      </w:r>
      <w:r>
        <w:rPr>
          <w:color w:val="231F20"/>
        </w:rPr>
        <w:t xml:space="preserve"> show </w:t>
      </w:r>
      <w:r w:rsidR="00927188">
        <w:rPr>
          <w:color w:val="231F20"/>
        </w:rPr>
        <w:t>that</w:t>
      </w:r>
      <w:r>
        <w:rPr>
          <w:color w:val="231F20"/>
        </w:rPr>
        <w:t xml:space="preserve"> a claimant</w:t>
      </w:r>
      <w:r w:rsidR="00927188">
        <w:rPr>
          <w:color w:val="231F20"/>
        </w:rPr>
        <w:t xml:space="preserve"> </w:t>
      </w:r>
      <w:r>
        <w:rPr>
          <w:color w:val="231F20"/>
        </w:rPr>
        <w:t xml:space="preserve">has only been </w:t>
      </w:r>
      <w:r w:rsidR="00927188">
        <w:rPr>
          <w:color w:val="231F20"/>
        </w:rPr>
        <w:t xml:space="preserve">awarded half of their rent amount (not including any other deductions </w:t>
      </w:r>
      <w:r>
        <w:rPr>
          <w:color w:val="231F20"/>
        </w:rPr>
        <w:t xml:space="preserve">such as non-dependent deductions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</w:rPr>
        <w:t>).</w:t>
      </w:r>
      <w:r w:rsidR="007A2018">
        <w:rPr>
          <w:color w:val="231F20"/>
        </w:rPr>
        <w:t xml:space="preserve"> </w:t>
      </w:r>
    </w:p>
    <w:p w14:paraId="6D2B4991" w14:textId="77777777" w:rsidR="002402CC" w:rsidRDefault="002402CC" w:rsidP="007A2018">
      <w:pPr>
        <w:pStyle w:val="Heading1"/>
        <w:ind w:left="401"/>
        <w:rPr>
          <w:color w:val="231F20"/>
        </w:rPr>
      </w:pPr>
    </w:p>
    <w:p w14:paraId="6D2B4992" w14:textId="77777777" w:rsidR="006E7657" w:rsidRPr="006E7657" w:rsidRDefault="006E7657" w:rsidP="007A2018">
      <w:pPr>
        <w:pStyle w:val="Heading1"/>
        <w:ind w:left="401"/>
        <w:rPr>
          <w:b/>
          <w:color w:val="231F20"/>
        </w:rPr>
      </w:pPr>
      <w:r w:rsidRPr="006E7657">
        <w:rPr>
          <w:b/>
          <w:color w:val="231F20"/>
        </w:rPr>
        <w:t xml:space="preserve">How to challenge the decision </w:t>
      </w:r>
    </w:p>
    <w:p w14:paraId="6D2B4993" w14:textId="77777777" w:rsidR="006E7657" w:rsidRDefault="006E7657" w:rsidP="007A2018">
      <w:pPr>
        <w:pStyle w:val="Heading1"/>
        <w:ind w:left="401"/>
        <w:rPr>
          <w:color w:val="231F20"/>
        </w:rPr>
      </w:pPr>
    </w:p>
    <w:p w14:paraId="6D2B4994" w14:textId="77777777" w:rsidR="00E5526A" w:rsidRDefault="002402CC" w:rsidP="007A2018">
      <w:pPr>
        <w:pStyle w:val="Heading1"/>
        <w:ind w:left="401"/>
        <w:rPr>
          <w:color w:val="231F20"/>
        </w:rPr>
      </w:pPr>
      <w:r>
        <w:rPr>
          <w:color w:val="231F20"/>
        </w:rPr>
        <w:t>An important distinction when deciding on the best approach to tackle the issue will depend on whether</w:t>
      </w:r>
      <w:r w:rsidR="00E5526A">
        <w:rPr>
          <w:color w:val="231F20"/>
        </w:rPr>
        <w:t xml:space="preserve"> a)</w:t>
      </w:r>
      <w:r>
        <w:rPr>
          <w:color w:val="231F20"/>
        </w:rPr>
        <w:t xml:space="preserve"> the claimant is a joint tenant, and therefore ‘</w:t>
      </w:r>
      <w:r w:rsidRPr="002402CC">
        <w:rPr>
          <w:color w:val="231F20"/>
        </w:rPr>
        <w:t>jointly &amp; severally liable</w:t>
      </w:r>
      <w:r>
        <w:rPr>
          <w:color w:val="231F20"/>
        </w:rPr>
        <w:t>’ for the full rent amount;</w:t>
      </w:r>
      <w:r w:rsidR="00E5526A">
        <w:rPr>
          <w:color w:val="231F20"/>
        </w:rPr>
        <w:t xml:space="preserve"> b)</w:t>
      </w:r>
      <w:r>
        <w:rPr>
          <w:color w:val="231F20"/>
        </w:rPr>
        <w:t xml:space="preserve"> or whether they are an occupier of the premises </w:t>
      </w:r>
      <w:r w:rsidR="009F0A37">
        <w:rPr>
          <w:color w:val="231F20"/>
        </w:rPr>
        <w:t>but within</w:t>
      </w:r>
      <w:r>
        <w:rPr>
          <w:color w:val="231F20"/>
        </w:rPr>
        <w:t xml:space="preserve"> their circumstances</w:t>
      </w:r>
      <w:r w:rsidR="00E5526A">
        <w:rPr>
          <w:color w:val="231F20"/>
        </w:rPr>
        <w:t xml:space="preserve"> should be treated as such. This can be checked by reviewing a copy of the claimant’s tenancy agreement if the claimant is unsure.  </w:t>
      </w:r>
    </w:p>
    <w:p w14:paraId="6D2B4995" w14:textId="77777777" w:rsidR="00DB0D4B" w:rsidRDefault="00DB0D4B" w:rsidP="007A2018">
      <w:pPr>
        <w:pStyle w:val="Heading1"/>
        <w:ind w:left="401"/>
        <w:rPr>
          <w:color w:val="231F20"/>
        </w:rPr>
      </w:pPr>
    </w:p>
    <w:p w14:paraId="6D2B4996" w14:textId="77777777" w:rsidR="00DB0D4B" w:rsidRPr="00DB0D4B" w:rsidRDefault="00DB0D4B" w:rsidP="007A2018">
      <w:pPr>
        <w:pStyle w:val="Heading1"/>
        <w:ind w:left="401"/>
        <w:rPr>
          <w:b/>
          <w:color w:val="231F20"/>
        </w:rPr>
      </w:pPr>
      <w:r w:rsidRPr="00DB0D4B">
        <w:rPr>
          <w:b/>
          <w:color w:val="231F20"/>
        </w:rPr>
        <w:t xml:space="preserve">Situation A </w:t>
      </w:r>
      <w:r>
        <w:rPr>
          <w:b/>
          <w:color w:val="231F20"/>
        </w:rPr>
        <w:t xml:space="preserve">– </w:t>
      </w:r>
      <w:r w:rsidR="00F361E2">
        <w:rPr>
          <w:b/>
          <w:color w:val="231F20"/>
        </w:rPr>
        <w:t>‘joint</w:t>
      </w:r>
      <w:r>
        <w:rPr>
          <w:b/>
          <w:color w:val="231F20"/>
        </w:rPr>
        <w:t xml:space="preserve"> and severally liable’</w:t>
      </w:r>
    </w:p>
    <w:p w14:paraId="6D2B4997" w14:textId="77777777" w:rsidR="00DB0D4B" w:rsidRDefault="00DB0D4B" w:rsidP="007A2018">
      <w:pPr>
        <w:pStyle w:val="Heading1"/>
        <w:ind w:left="401"/>
        <w:rPr>
          <w:color w:val="231F20"/>
        </w:rPr>
      </w:pPr>
    </w:p>
    <w:p w14:paraId="6D2B4998" w14:textId="77777777" w:rsidR="002402CC" w:rsidRDefault="00E5526A" w:rsidP="00E5526A">
      <w:pPr>
        <w:pStyle w:val="Heading1"/>
        <w:ind w:left="401"/>
        <w:rPr>
          <w:color w:val="231F20"/>
        </w:rPr>
      </w:pPr>
      <w:r>
        <w:rPr>
          <w:color w:val="231F20"/>
        </w:rPr>
        <w:t>In the instance of situation A an ‘anytime revision</w:t>
      </w:r>
      <w:r w:rsidR="00574A50">
        <w:rPr>
          <w:color w:val="231F20"/>
        </w:rPr>
        <w:t xml:space="preserve">’ should be requested that includes each assessment period where the claimant has been affected by the shortfall. The grounds of your revision should simply </w:t>
      </w:r>
      <w:r w:rsidR="005E6E2E">
        <w:rPr>
          <w:color w:val="231F20"/>
        </w:rPr>
        <w:t>point out</w:t>
      </w:r>
      <w:r w:rsidR="00574A50">
        <w:rPr>
          <w:color w:val="231F20"/>
        </w:rPr>
        <w:t xml:space="preserve"> that the</w:t>
      </w:r>
      <w:r w:rsidR="005E6E2E">
        <w:rPr>
          <w:color w:val="231F20"/>
        </w:rPr>
        <w:t xml:space="preserve"> claimant is listed as a tenant, as per their tenancy agreement, and therefore they meet the liability condition for a Housing Costs awards as determined by the</w:t>
      </w:r>
      <w:r w:rsidR="005E6E2E" w:rsidRPr="005E6E2E">
        <w:rPr>
          <w:color w:val="231F20"/>
        </w:rPr>
        <w:t xml:space="preserve"> UC Regs, reg 25(1) &amp; (5)</w:t>
      </w:r>
      <w:r w:rsidR="005E6E2E">
        <w:rPr>
          <w:color w:val="231F20"/>
        </w:rPr>
        <w:t xml:space="preserve"> as they are joint and severally liable. </w:t>
      </w:r>
    </w:p>
    <w:p w14:paraId="6D2B4999" w14:textId="77777777" w:rsidR="005E6E2E" w:rsidRDefault="005E6E2E" w:rsidP="00E5526A">
      <w:pPr>
        <w:pStyle w:val="Heading1"/>
        <w:ind w:left="401"/>
        <w:rPr>
          <w:color w:val="231F20"/>
        </w:rPr>
      </w:pPr>
    </w:p>
    <w:p w14:paraId="6D2B499A" w14:textId="77777777" w:rsidR="00DB0D4B" w:rsidRPr="00DB0D4B" w:rsidRDefault="00DB0D4B" w:rsidP="00E5526A">
      <w:pPr>
        <w:pStyle w:val="Heading1"/>
        <w:ind w:left="401"/>
        <w:rPr>
          <w:b/>
          <w:color w:val="231F20"/>
        </w:rPr>
      </w:pPr>
      <w:r w:rsidRPr="00DB0D4B">
        <w:rPr>
          <w:b/>
          <w:color w:val="231F20"/>
        </w:rPr>
        <w:t xml:space="preserve">Situation B – </w:t>
      </w:r>
      <w:r>
        <w:rPr>
          <w:b/>
          <w:color w:val="231F20"/>
        </w:rPr>
        <w:t>‘</w:t>
      </w:r>
      <w:r w:rsidRPr="00DB0D4B">
        <w:rPr>
          <w:b/>
          <w:color w:val="231F20"/>
        </w:rPr>
        <w:t>treated as liable</w:t>
      </w:r>
      <w:r>
        <w:rPr>
          <w:b/>
          <w:color w:val="231F20"/>
        </w:rPr>
        <w:t>’</w:t>
      </w:r>
      <w:r w:rsidRPr="00DB0D4B">
        <w:rPr>
          <w:b/>
          <w:color w:val="231F20"/>
        </w:rPr>
        <w:t xml:space="preserve"> </w:t>
      </w:r>
    </w:p>
    <w:p w14:paraId="6D2B499B" w14:textId="77777777" w:rsidR="00DB0D4B" w:rsidRDefault="00DB0D4B" w:rsidP="00E5526A">
      <w:pPr>
        <w:pStyle w:val="Heading1"/>
        <w:ind w:left="401"/>
        <w:rPr>
          <w:color w:val="231F20"/>
        </w:rPr>
      </w:pPr>
    </w:p>
    <w:p w14:paraId="6D2B499C" w14:textId="77777777" w:rsidR="00575327" w:rsidRDefault="005E6E2E" w:rsidP="008E5A7D">
      <w:pPr>
        <w:pStyle w:val="Heading1"/>
        <w:ind w:left="401"/>
        <w:rPr>
          <w:color w:val="231F20"/>
        </w:rPr>
      </w:pPr>
      <w:r>
        <w:rPr>
          <w:color w:val="231F20"/>
        </w:rPr>
        <w:t xml:space="preserve">In the event of situation B an ‘anytime revision’ should be requested </w:t>
      </w:r>
      <w:r w:rsidRPr="005E6E2E">
        <w:rPr>
          <w:color w:val="231F20"/>
        </w:rPr>
        <w:t>that includes each assessment period where the claimant has been affected by the shortfall.</w:t>
      </w:r>
      <w:r>
        <w:rPr>
          <w:color w:val="231F20"/>
        </w:rPr>
        <w:t xml:space="preserve"> However your grounds should remind the decision maker that the DWP does have the power to treat the claimant as </w:t>
      </w:r>
      <w:r w:rsidR="00242AC4">
        <w:rPr>
          <w:color w:val="231F20"/>
        </w:rPr>
        <w:t xml:space="preserve">liable, even if they are not listed as a tenant. </w:t>
      </w:r>
    </w:p>
    <w:p w14:paraId="6D2B499D" w14:textId="77777777" w:rsidR="000B5C8D" w:rsidRDefault="000B5C8D" w:rsidP="008E5A7D">
      <w:pPr>
        <w:pStyle w:val="Heading1"/>
        <w:ind w:left="401"/>
        <w:rPr>
          <w:color w:val="231F20"/>
        </w:rPr>
      </w:pPr>
    </w:p>
    <w:p w14:paraId="6D2B499E" w14:textId="77777777" w:rsidR="008E5A7D" w:rsidRDefault="008E5A7D" w:rsidP="008E5A7D">
      <w:pPr>
        <w:pStyle w:val="Heading1"/>
        <w:ind w:left="401"/>
        <w:rPr>
          <w:i/>
          <w:color w:val="231F20"/>
        </w:rPr>
      </w:pPr>
      <w:r>
        <w:rPr>
          <w:color w:val="231F20"/>
        </w:rPr>
        <w:t>The regulation</w:t>
      </w:r>
      <w:r w:rsidR="00242AC4">
        <w:rPr>
          <w:color w:val="231F20"/>
        </w:rPr>
        <w:t xml:space="preserve"> states that the claimant can be treated as liable if someone else is not making payments and payment must be made to continue </w:t>
      </w:r>
      <w:r>
        <w:rPr>
          <w:color w:val="231F20"/>
        </w:rPr>
        <w:t xml:space="preserve">occupation of their home. </w:t>
      </w:r>
      <w:r w:rsidR="00242AC4">
        <w:rPr>
          <w:color w:val="231F20"/>
        </w:rPr>
        <w:t xml:space="preserve">In addition, it must be argued that it would unreasonable in the particular circumstances to make other arrangements for payment </w:t>
      </w:r>
      <w:r w:rsidR="00242AC4" w:rsidRPr="008E5A7D">
        <w:rPr>
          <w:b/>
          <w:color w:val="231F20"/>
        </w:rPr>
        <w:t>and</w:t>
      </w:r>
      <w:r w:rsidR="00242AC4">
        <w:rPr>
          <w:color w:val="231F20"/>
        </w:rPr>
        <w:t xml:space="preserve"> finally that it is reasonable to treat the claimant as liable. </w:t>
      </w:r>
      <w:r>
        <w:rPr>
          <w:color w:val="231F20"/>
        </w:rPr>
        <w:t xml:space="preserve">It should be noted that the regulation does not mention that a ‘use and occupation’ account is </w:t>
      </w:r>
      <w:r>
        <w:rPr>
          <w:color w:val="231F20"/>
        </w:rPr>
        <w:lastRenderedPageBreak/>
        <w:t>necessary t</w:t>
      </w:r>
      <w:r w:rsidR="00575327">
        <w:rPr>
          <w:color w:val="231F20"/>
        </w:rPr>
        <w:t xml:space="preserve">o be able to invoke this power or even that the claimant needs to be listed as an occupier. </w:t>
      </w:r>
      <w:r w:rsidR="00575327" w:rsidRPr="00575327">
        <w:rPr>
          <w:i/>
          <w:color w:val="231F20"/>
        </w:rPr>
        <w:t>Sch 2 para 2 of the UC Regs</w:t>
      </w:r>
    </w:p>
    <w:p w14:paraId="6D2B499F" w14:textId="77777777" w:rsidR="00575327" w:rsidRDefault="00575327" w:rsidP="008E5A7D">
      <w:pPr>
        <w:pStyle w:val="Heading1"/>
        <w:ind w:left="401"/>
        <w:rPr>
          <w:i/>
          <w:color w:val="231F20"/>
        </w:rPr>
      </w:pPr>
    </w:p>
    <w:p w14:paraId="6D2B49A0" w14:textId="77777777" w:rsidR="00575327" w:rsidRDefault="00575327" w:rsidP="008E5A7D">
      <w:pPr>
        <w:pStyle w:val="Heading1"/>
        <w:ind w:left="401"/>
        <w:rPr>
          <w:color w:val="231F20"/>
        </w:rPr>
      </w:pPr>
      <w:r>
        <w:rPr>
          <w:color w:val="231F20"/>
        </w:rPr>
        <w:t xml:space="preserve">To submit the revision request, you should be able to do this directly via the UC journal. </w:t>
      </w:r>
      <w:r w:rsidR="000B5C8D">
        <w:rPr>
          <w:color w:val="231F20"/>
        </w:rPr>
        <w:t>Other options are</w:t>
      </w:r>
      <w:r>
        <w:rPr>
          <w:color w:val="231F20"/>
        </w:rPr>
        <w:t xml:space="preserve"> </w:t>
      </w:r>
      <w:r w:rsidR="000B5C8D">
        <w:rPr>
          <w:color w:val="231F20"/>
        </w:rPr>
        <w:t>sending the request via post or making an appointment at the job center to scan through a statement directly. The</w:t>
      </w:r>
      <w:r w:rsidR="000D1F1B">
        <w:rPr>
          <w:color w:val="231F20"/>
        </w:rPr>
        <w:t xml:space="preserve"> </w:t>
      </w:r>
      <w:r w:rsidR="00DB0D4B">
        <w:rPr>
          <w:color w:val="231F20"/>
        </w:rPr>
        <w:t>example template</w:t>
      </w:r>
      <w:r w:rsidR="000B5C8D">
        <w:rPr>
          <w:color w:val="231F20"/>
        </w:rPr>
        <w:t xml:space="preserve"> below can be used and amended as needed for claimant’s affected by situation B: </w:t>
      </w:r>
    </w:p>
    <w:p w14:paraId="6D2B49A1" w14:textId="77777777" w:rsidR="000D1F1B" w:rsidRPr="00017C52" w:rsidRDefault="000D1F1B" w:rsidP="000D1F1B">
      <w:pPr>
        <w:spacing w:line="360" w:lineRule="auto"/>
        <w:rPr>
          <w:i/>
        </w:rPr>
      </w:pPr>
    </w:p>
    <w:p w14:paraId="6D2B49A2" w14:textId="77777777" w:rsidR="000D1F1B" w:rsidRDefault="000D1F1B" w:rsidP="000D1F1B">
      <w:pPr>
        <w:spacing w:line="360" w:lineRule="auto"/>
        <w:ind w:left="401"/>
        <w:rPr>
          <w:i/>
        </w:rPr>
      </w:pPr>
    </w:p>
    <w:p w14:paraId="6D2B49A3" w14:textId="77777777" w:rsidR="000D1F1B" w:rsidRPr="00EC6465" w:rsidRDefault="000D1F1B" w:rsidP="000D1F1B">
      <w:pPr>
        <w:spacing w:line="360" w:lineRule="auto"/>
        <w:ind w:left="401"/>
        <w:rPr>
          <w:i/>
        </w:rPr>
      </w:pPr>
      <w:r w:rsidRPr="00EC6465">
        <w:rPr>
          <w:i/>
        </w:rPr>
        <w:t>Hello,</w:t>
      </w:r>
    </w:p>
    <w:p w14:paraId="6D2B49A4" w14:textId="77777777" w:rsidR="000D1F1B" w:rsidRPr="00EC6465" w:rsidRDefault="000D1F1B" w:rsidP="000D1F1B">
      <w:pPr>
        <w:spacing w:line="360" w:lineRule="auto"/>
        <w:ind w:left="401"/>
        <w:rPr>
          <w:i/>
        </w:rPr>
      </w:pPr>
      <w:r w:rsidRPr="00EC6465">
        <w:rPr>
          <w:i/>
        </w:rPr>
        <w:t xml:space="preserve">It appears you have not awarded my housing costs since </w:t>
      </w:r>
      <w:r w:rsidRPr="00EC6465">
        <w:rPr>
          <w:i/>
          <w:color w:val="FF0000"/>
        </w:rPr>
        <w:t xml:space="preserve">(first relevant AP), </w:t>
      </w:r>
      <w:r w:rsidRPr="00EC6465">
        <w:rPr>
          <w:i/>
        </w:rPr>
        <w:t xml:space="preserve">however I believe this is a mistake. </w:t>
      </w:r>
      <w:r w:rsidRPr="00EC6465">
        <w:rPr>
          <w:i/>
          <w:color w:val="FF0000"/>
        </w:rPr>
        <w:t xml:space="preserve">(name of tenant) </w:t>
      </w:r>
      <w:r w:rsidRPr="00EC6465">
        <w:rPr>
          <w:i/>
        </w:rPr>
        <w:t xml:space="preserve">is on the tenancy agreement for the property I am currently occupying, however they cannot reasonably make any payments because </w:t>
      </w:r>
      <w:r w:rsidRPr="00EC6465">
        <w:rPr>
          <w:i/>
          <w:color w:val="FF0000"/>
        </w:rPr>
        <w:t xml:space="preserve">(we have been split up for x many years/they have died/no contact/appropriate exceptional circumstances here) </w:t>
      </w:r>
      <w:r w:rsidRPr="00EC6465">
        <w:rPr>
          <w:i/>
        </w:rPr>
        <w:t xml:space="preserve">and they have not made any payment since </w:t>
      </w:r>
      <w:r w:rsidRPr="00EC6465">
        <w:rPr>
          <w:i/>
          <w:color w:val="FF0000"/>
        </w:rPr>
        <w:t xml:space="preserve">(approx. date here). </w:t>
      </w:r>
      <w:r w:rsidRPr="00EC6465">
        <w:rPr>
          <w:i/>
        </w:rPr>
        <w:t xml:space="preserve">I am currently being treated as liable for the housing costs and the landlord of the property is threatening me with eviction unless I make payment. </w:t>
      </w:r>
    </w:p>
    <w:p w14:paraId="6D2B49A5" w14:textId="77777777" w:rsidR="000D1F1B" w:rsidRDefault="000D1F1B" w:rsidP="000D1F1B">
      <w:pPr>
        <w:spacing w:line="360" w:lineRule="auto"/>
        <w:ind w:left="401"/>
        <w:rPr>
          <w:i/>
        </w:rPr>
      </w:pPr>
      <w:r w:rsidRPr="00EC6465">
        <w:rPr>
          <w:i/>
        </w:rPr>
        <w:t>It’s kindly asked that this issue is passed to a decision maker</w:t>
      </w:r>
      <w:r w:rsidR="005C6DCD">
        <w:rPr>
          <w:i/>
        </w:rPr>
        <w:t xml:space="preserve"> for revision</w:t>
      </w:r>
      <w:r w:rsidRPr="00EC6465">
        <w:rPr>
          <w:i/>
        </w:rPr>
        <w:t xml:space="preserve"> who can consider my case in line with the UC Regs, Schedule 2, para 2</w:t>
      </w:r>
      <w:r>
        <w:rPr>
          <w:i/>
        </w:rPr>
        <w:t xml:space="preserve"> and determine</w:t>
      </w:r>
      <w:r w:rsidRPr="00EC6465">
        <w:rPr>
          <w:i/>
        </w:rPr>
        <w:t xml:space="preserve"> my entitlement to the Housing Cost Element. Thank you. </w:t>
      </w:r>
    </w:p>
    <w:p w14:paraId="6D2B49A6" w14:textId="77777777" w:rsidR="000B5C8D" w:rsidRPr="00575327" w:rsidRDefault="000B5C8D" w:rsidP="008E5A7D">
      <w:pPr>
        <w:pStyle w:val="Heading1"/>
        <w:ind w:left="401"/>
        <w:rPr>
          <w:color w:val="231F20"/>
        </w:rPr>
      </w:pPr>
    </w:p>
    <w:p w14:paraId="6D2B49A7" w14:textId="77777777" w:rsidR="00E5526A" w:rsidRDefault="00E5526A" w:rsidP="00E5526A">
      <w:pPr>
        <w:pStyle w:val="Heading1"/>
        <w:rPr>
          <w:color w:val="231F20"/>
        </w:rPr>
      </w:pPr>
    </w:p>
    <w:p w14:paraId="6D2B49A8" w14:textId="77777777" w:rsidR="00927188" w:rsidRDefault="00927188">
      <w:pPr>
        <w:pStyle w:val="Heading1"/>
        <w:ind w:left="401"/>
        <w:rPr>
          <w:color w:val="231F20"/>
        </w:rPr>
      </w:pPr>
    </w:p>
    <w:p w14:paraId="6D2B49A9" w14:textId="77777777" w:rsidR="00927188" w:rsidRDefault="00927188">
      <w:pPr>
        <w:pStyle w:val="Heading1"/>
        <w:ind w:left="401"/>
      </w:pPr>
    </w:p>
    <w:p w14:paraId="6D2B49AA" w14:textId="77777777" w:rsidR="00D94AD9" w:rsidRDefault="00D94AD9">
      <w:pPr>
        <w:spacing w:before="1" w:line="180" w:lineRule="exact"/>
        <w:rPr>
          <w:sz w:val="18"/>
          <w:szCs w:val="18"/>
        </w:rPr>
      </w:pPr>
    </w:p>
    <w:p w14:paraId="6D2B49AB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AC" w14:textId="77777777" w:rsidR="00D94AD9" w:rsidRDefault="004C3CA2" w:rsidP="004C3CA2">
      <w:pPr>
        <w:tabs>
          <w:tab w:val="left" w:pos="147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D2B49AD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AE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AF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0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1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2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3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4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5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6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7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8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9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A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B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C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D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E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BF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0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1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2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3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4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5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6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7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8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9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A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B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C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D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E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CF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0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1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2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3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4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5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6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7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8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9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A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B" w14:textId="77777777" w:rsidR="00D94AD9" w:rsidRDefault="00D94AD9">
      <w:pPr>
        <w:spacing w:line="200" w:lineRule="exact"/>
        <w:rPr>
          <w:sz w:val="20"/>
          <w:szCs w:val="20"/>
        </w:rPr>
      </w:pPr>
    </w:p>
    <w:p w14:paraId="6D2B49DC" w14:textId="77777777" w:rsidR="00D94AD9" w:rsidRPr="004C3CA2" w:rsidRDefault="00D94AD9" w:rsidP="004C3CA2">
      <w:pPr>
        <w:spacing w:line="200" w:lineRule="exact"/>
        <w:ind w:left="426"/>
        <w:rPr>
          <w:color w:val="000000" w:themeColor="text1"/>
          <w:sz w:val="20"/>
          <w:szCs w:val="20"/>
        </w:rPr>
      </w:pPr>
    </w:p>
    <w:p w14:paraId="6D2B49DD" w14:textId="77777777" w:rsidR="00D94AD9" w:rsidRDefault="004C3CA2" w:rsidP="004C3CA2">
      <w:pPr>
        <w:tabs>
          <w:tab w:val="right" w:pos="10876"/>
        </w:tabs>
        <w:spacing w:before="55"/>
        <w:ind w:left="426"/>
        <w:rPr>
          <w:rFonts w:ascii="Calibri" w:eastAsia="Calibri" w:hAnsi="Calibri" w:cs="Calibri"/>
        </w:rPr>
        <w:sectPr w:rsidR="00D94AD9" w:rsidSect="00AD7E46"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1" w:h="16840"/>
          <w:pgMar w:top="851" w:right="442" w:bottom="301" w:left="482" w:header="720" w:footer="720" w:gutter="0"/>
          <w:pgBorders w:offsetFrom="page">
            <w:top w:val="single" w:sz="8" w:space="28" w:color="17365D" w:themeColor="text2" w:themeShade="BF"/>
            <w:left w:val="single" w:sz="8" w:space="28" w:color="17365D" w:themeColor="text2" w:themeShade="BF"/>
            <w:bottom w:val="single" w:sz="8" w:space="28" w:color="17365D" w:themeColor="text2" w:themeShade="BF"/>
            <w:right w:val="single" w:sz="8" w:space="28" w:color="17365D" w:themeColor="text2" w:themeShade="BF"/>
          </w:pgBorders>
          <w:cols w:space="720"/>
          <w:titlePg/>
        </w:sectPr>
      </w:pPr>
      <w:r>
        <w:rPr>
          <w:rFonts w:ascii="Calibri" w:hAnsi="Calibri"/>
          <w:color w:val="000000" w:themeColor="text1"/>
          <w:position w:val="1"/>
        </w:rPr>
        <w:t>Begin text here</w:t>
      </w:r>
    </w:p>
    <w:p w14:paraId="6D2B49DE" w14:textId="77777777" w:rsidR="00587EDC" w:rsidRDefault="00587EDC">
      <w:pPr>
        <w:rPr>
          <w:rFonts w:ascii="Arial" w:eastAsia="Arial" w:hAnsi="Arial"/>
          <w:color w:val="231F1F"/>
          <w:w w:val="105"/>
          <w:sz w:val="19"/>
          <w:szCs w:val="19"/>
        </w:rPr>
      </w:pPr>
      <w:r>
        <w:rPr>
          <w:color w:val="231F1F"/>
          <w:w w:val="105"/>
        </w:rPr>
        <w:lastRenderedPageBreak/>
        <w:br w:type="page"/>
      </w:r>
    </w:p>
    <w:p w14:paraId="6D2B49DF" w14:textId="77777777" w:rsidR="00D94AD9" w:rsidRDefault="00D94AD9">
      <w:pPr>
        <w:pStyle w:val="BodyText"/>
        <w:spacing w:before="55"/>
        <w:ind w:left="513"/>
      </w:pPr>
    </w:p>
    <w:p w14:paraId="6D2B49E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2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3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4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5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6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7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8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9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A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B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C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D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E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EF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2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3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4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5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6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7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8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9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A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B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C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D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E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9FF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2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3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4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5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6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7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8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9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A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B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C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D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E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0F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2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3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4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5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6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7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8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9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A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B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C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D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E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1F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2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3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4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5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6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7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8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9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A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B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C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D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E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2F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30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31" w14:textId="77777777" w:rsidR="00D94AD9" w:rsidRDefault="00D94AD9">
      <w:pPr>
        <w:spacing w:line="180" w:lineRule="exact"/>
        <w:rPr>
          <w:sz w:val="18"/>
          <w:szCs w:val="18"/>
        </w:rPr>
      </w:pPr>
    </w:p>
    <w:p w14:paraId="6D2B4A32" w14:textId="77777777" w:rsidR="00D94AD9" w:rsidRDefault="00D94AD9" w:rsidP="004C3CA2">
      <w:pPr>
        <w:pStyle w:val="BodyText"/>
        <w:tabs>
          <w:tab w:val="left" w:pos="10532"/>
        </w:tabs>
        <w:ind w:left="0"/>
      </w:pPr>
    </w:p>
    <w:sectPr w:rsidR="00D94AD9" w:rsidSect="00AD7E46">
      <w:pgSz w:w="11901" w:h="16840"/>
      <w:pgMar w:top="800" w:right="680" w:bottom="280" w:left="480" w:header="720" w:footer="720" w:gutter="0"/>
      <w:pgBorders w:offsetFrom="page">
        <w:top w:val="single" w:sz="8" w:space="28" w:color="17365D" w:themeColor="text2" w:themeShade="BF"/>
        <w:left w:val="single" w:sz="8" w:space="28" w:color="17365D" w:themeColor="text2" w:themeShade="BF"/>
        <w:bottom w:val="single" w:sz="8" w:space="28" w:color="17365D" w:themeColor="text2" w:themeShade="BF"/>
        <w:right w:val="single" w:sz="8" w:space="28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4A37" w14:textId="77777777" w:rsidR="0067376C" w:rsidRDefault="0067376C" w:rsidP="00587EDC">
      <w:r>
        <w:separator/>
      </w:r>
    </w:p>
  </w:endnote>
  <w:endnote w:type="continuationSeparator" w:id="0">
    <w:p w14:paraId="6D2B4A38" w14:textId="77777777" w:rsidR="0067376C" w:rsidRDefault="0067376C" w:rsidP="0058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A39" w14:textId="77777777" w:rsidR="00D9110E" w:rsidRDefault="0061695D" w:rsidP="00D911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911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B4A3A" w14:textId="77777777" w:rsidR="00D9110E" w:rsidRDefault="00D9110E" w:rsidP="004C3C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A3B" w14:textId="77777777" w:rsidR="00D9110E" w:rsidRDefault="00D9110E" w:rsidP="004C3CA2">
    <w:pPr>
      <w:spacing w:line="14" w:lineRule="auto"/>
      <w:ind w:right="360"/>
      <w:rPr>
        <w:sz w:val="20"/>
        <w:szCs w:val="20"/>
      </w:rPr>
    </w:pPr>
  </w:p>
  <w:p w14:paraId="6D2B4A3C" w14:textId="77777777" w:rsidR="00D9110E" w:rsidRPr="004C3CA2" w:rsidRDefault="0061695D" w:rsidP="004C3CA2">
    <w:pPr>
      <w:pStyle w:val="Footer"/>
      <w:framePr w:wrap="around" w:vAnchor="text" w:hAnchor="page" w:x="11151" w:y="70"/>
      <w:rPr>
        <w:rStyle w:val="PageNumber"/>
        <w:color w:val="262626" w:themeColor="text1" w:themeTint="D9"/>
      </w:rPr>
    </w:pPr>
    <w:r w:rsidRPr="004C3CA2">
      <w:rPr>
        <w:rStyle w:val="PageNumber"/>
        <w:color w:val="262626" w:themeColor="text1" w:themeTint="D9"/>
      </w:rPr>
      <w:fldChar w:fldCharType="begin"/>
    </w:r>
    <w:r w:rsidR="00D9110E" w:rsidRPr="004C3CA2">
      <w:rPr>
        <w:rStyle w:val="PageNumber"/>
        <w:color w:val="262626" w:themeColor="text1" w:themeTint="D9"/>
      </w:rPr>
      <w:instrText xml:space="preserve">PAGE  </w:instrText>
    </w:r>
    <w:r w:rsidRPr="004C3CA2">
      <w:rPr>
        <w:rStyle w:val="PageNumber"/>
        <w:color w:val="262626" w:themeColor="text1" w:themeTint="D9"/>
      </w:rPr>
      <w:fldChar w:fldCharType="separate"/>
    </w:r>
    <w:r w:rsidR="005C6DCD">
      <w:rPr>
        <w:rStyle w:val="PageNumber"/>
        <w:noProof/>
        <w:color w:val="262626" w:themeColor="text1" w:themeTint="D9"/>
      </w:rPr>
      <w:t>2</w:t>
    </w:r>
    <w:r w:rsidRPr="004C3CA2">
      <w:rPr>
        <w:rStyle w:val="PageNumber"/>
        <w:color w:val="262626" w:themeColor="text1" w:themeTint="D9"/>
      </w:rPr>
      <w:fldChar w:fldCharType="end"/>
    </w:r>
  </w:p>
  <w:p w14:paraId="6D2B4A3D" w14:textId="77777777" w:rsidR="00D9110E" w:rsidRDefault="00CF4322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2B4A41" wp14:editId="6D2B4A42">
              <wp:simplePos x="0" y="0"/>
              <wp:positionH relativeFrom="page">
                <wp:posOffset>459740</wp:posOffset>
              </wp:positionH>
              <wp:positionV relativeFrom="page">
                <wp:posOffset>10109200</wp:posOffset>
              </wp:positionV>
              <wp:extent cx="4105910" cy="228600"/>
              <wp:effectExtent l="0" t="0" r="8890" b="0"/>
              <wp:wrapNone/>
              <wp:docPr id="2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9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4A4B" w14:textId="77777777" w:rsidR="00AD7E46" w:rsidRDefault="00AD7E46" w:rsidP="00AD7E46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|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March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2014</w:t>
                          </w:r>
                        </w:p>
                        <w:p w14:paraId="6D2B4A4C" w14:textId="77777777" w:rsidR="00D9110E" w:rsidRDefault="00D9110E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B4A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.2pt;margin-top:796pt;width:323.3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zs1QEAAJEDAAAOAAAAZHJzL2Uyb0RvYy54bWysU8Fu1DAQvSPxD5bvbJIVVC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" filled="f" stroked="f">
              <v:textbox inset="0,0,0,0">
                <w:txbxContent>
                  <w:p w14:paraId="6D2B4A4B" w14:textId="77777777" w:rsidR="00AD7E46" w:rsidRDefault="00AD7E46" w:rsidP="00AD7E46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| </w:t>
                    </w:r>
                    <w:r>
                      <w:rPr>
                        <w:rFonts w:ascii="Calibri" w:hAnsi="Calibri"/>
                        <w:color w:val="58595B"/>
                      </w:rPr>
                      <w:t>March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2014</w:t>
                    </w:r>
                  </w:p>
                  <w:p w14:paraId="6D2B4A4C" w14:textId="77777777" w:rsidR="00D9110E" w:rsidRDefault="00D9110E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A3F" w14:textId="77777777" w:rsidR="00D9110E" w:rsidRDefault="00D9110E" w:rsidP="00A52133">
    <w:pPr>
      <w:spacing w:line="14" w:lineRule="auto"/>
      <w:rPr>
        <w:sz w:val="20"/>
        <w:szCs w:val="20"/>
      </w:rPr>
    </w:pPr>
  </w:p>
  <w:p w14:paraId="6D2B4A40" w14:textId="77777777" w:rsidR="00D9110E" w:rsidRPr="00A52133" w:rsidRDefault="00CF4322" w:rsidP="00AD7E46">
    <w:pPr>
      <w:pStyle w:val="Footer"/>
      <w:tabs>
        <w:tab w:val="clear" w:pos="4320"/>
        <w:tab w:val="clear" w:pos="8640"/>
        <w:tab w:val="left" w:pos="2480"/>
        <w:tab w:val="left" w:pos="3265"/>
      </w:tabs>
      <w:ind w:left="28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2B4A45" wp14:editId="6D2B4A46">
              <wp:simplePos x="0" y="0"/>
              <wp:positionH relativeFrom="page">
                <wp:posOffset>444500</wp:posOffset>
              </wp:positionH>
              <wp:positionV relativeFrom="page">
                <wp:posOffset>10109200</wp:posOffset>
              </wp:positionV>
              <wp:extent cx="4052570" cy="146685"/>
              <wp:effectExtent l="0" t="0" r="5080" b="5715"/>
              <wp:wrapNone/>
              <wp:docPr id="2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257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4A4D" w14:textId="77777777" w:rsidR="00D9110E" w:rsidRDefault="00D9110E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 w:hAnsi="Calibri"/>
                              <w:color w:val="58595B"/>
                            </w:rPr>
                            <w:t>Factsheet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name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58595B"/>
                            </w:rPr>
                            <w:t>©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1"/>
                            </w:rPr>
                            <w:t xml:space="preserve"> </w:t>
                          </w:r>
                          <w:r w:rsidR="00AD7E46">
                            <w:rPr>
                              <w:rFonts w:ascii="Calibri" w:hAnsi="Calibri"/>
                              <w:color w:val="58595B"/>
                            </w:rPr>
                            <w:t>Tower Hamlets Community Advice Network</w:t>
                          </w:r>
                          <w:r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 xml:space="preserve"> </w:t>
                          </w:r>
                          <w:r w:rsidR="00017C52">
                            <w:rPr>
                              <w:rFonts w:ascii="Calibri" w:hAnsi="Calibri"/>
                              <w:color w:val="58595B"/>
                              <w:spacing w:val="-2"/>
                            </w:rPr>
                            <w:t>February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B4A4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pt;margin-top:796pt;width:319.1pt;height:1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" filled="f" stroked="f">
              <v:textbox inset="0,0,0,0">
                <w:txbxContent>
                  <w:p w14:paraId="6D2B4A4D" w14:textId="77777777" w:rsidR="00D9110E" w:rsidRDefault="00D9110E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 w:hAnsi="Calibri"/>
                        <w:color w:val="58595B"/>
                      </w:rPr>
                      <w:t>Factsheet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name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|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95B"/>
                      </w:rPr>
                      <w:t>©</w:t>
                    </w:r>
                    <w:r>
                      <w:rPr>
                        <w:rFonts w:ascii="Calibri" w:hAnsi="Calibri"/>
                        <w:color w:val="58595B"/>
                        <w:spacing w:val="-1"/>
                      </w:rPr>
                      <w:t xml:space="preserve"> </w:t>
                    </w:r>
                    <w:r w:rsidR="00AD7E46">
                      <w:rPr>
                        <w:rFonts w:ascii="Calibri" w:hAnsi="Calibri"/>
                        <w:color w:val="58595B"/>
                      </w:rPr>
                      <w:t>Tower Hamlets Community Advice Network</w:t>
                    </w:r>
                    <w:r>
                      <w:rPr>
                        <w:rFonts w:ascii="Calibri" w:hAnsi="Calibri"/>
                        <w:color w:val="58595B"/>
                        <w:spacing w:val="-2"/>
                      </w:rPr>
                      <w:t xml:space="preserve"> </w:t>
                    </w:r>
                    <w:r w:rsidR="00017C52">
                      <w:rPr>
                        <w:rFonts w:ascii="Calibri" w:hAnsi="Calibri"/>
                        <w:color w:val="58595B"/>
                        <w:spacing w:val="-2"/>
                      </w:rPr>
                      <w:t>February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D2B4A47" wp14:editId="6D2B4A48">
              <wp:simplePos x="0" y="0"/>
              <wp:positionH relativeFrom="page">
                <wp:posOffset>6995160</wp:posOffset>
              </wp:positionH>
              <wp:positionV relativeFrom="page">
                <wp:posOffset>10109200</wp:posOffset>
              </wp:positionV>
              <wp:extent cx="96520" cy="165100"/>
              <wp:effectExtent l="0" t="0" r="17780" b="6350"/>
              <wp:wrapNone/>
              <wp:docPr id="2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4A4E" w14:textId="77777777" w:rsidR="00D9110E" w:rsidRDefault="00D9110E" w:rsidP="004C3CA2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B4A47" id="Text Box 5" o:spid="_x0000_s1028" type="#_x0000_t202" style="position:absolute;left:0;text-align:left;margin-left:550.8pt;margin-top:796pt;width:7.6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" filled="f" stroked="f">
              <v:textbox inset="0,0,0,0">
                <w:txbxContent>
                  <w:p w14:paraId="6D2B4A4E" w14:textId="77777777" w:rsidR="00D9110E" w:rsidRDefault="00D9110E" w:rsidP="004C3CA2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2B4A49" wp14:editId="6D2B4A4A">
              <wp:simplePos x="0" y="0"/>
              <wp:positionH relativeFrom="page">
                <wp:posOffset>7127875</wp:posOffset>
              </wp:positionH>
              <wp:positionV relativeFrom="page">
                <wp:posOffset>10109200</wp:posOffset>
              </wp:positionV>
              <wp:extent cx="635" cy="165100"/>
              <wp:effectExtent l="0" t="0" r="18415" b="635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4A4F" w14:textId="77777777" w:rsidR="00D9110E" w:rsidRDefault="00D9110E" w:rsidP="00A52133">
                          <w:pPr>
                            <w:pStyle w:val="BodyText"/>
                            <w:spacing w:line="240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ascii="Calibri"/>
                              <w:color w:val="58595B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B4A49" id="Text Box 3" o:spid="_x0000_s1029" type="#_x0000_t202" style="position:absolute;left:0;text-align:left;margin-left:561.25pt;margin-top:796pt;width:.05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" filled="f" stroked="f">
              <v:textbox inset="0,0,0,0">
                <w:txbxContent>
                  <w:p w14:paraId="6D2B4A4F" w14:textId="77777777" w:rsidR="00D9110E" w:rsidRDefault="00D9110E" w:rsidP="00A52133">
                    <w:pPr>
                      <w:pStyle w:val="BodyText"/>
                      <w:spacing w:line="240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ascii="Calibri"/>
                        <w:color w:val="58595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110E">
      <w:tab/>
    </w:r>
    <w:r w:rsidR="00AD7E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4A35" w14:textId="77777777" w:rsidR="0067376C" w:rsidRDefault="0067376C" w:rsidP="00587EDC">
      <w:r>
        <w:separator/>
      </w:r>
    </w:p>
  </w:footnote>
  <w:footnote w:type="continuationSeparator" w:id="0">
    <w:p w14:paraId="6D2B4A36" w14:textId="77777777" w:rsidR="0067376C" w:rsidRDefault="0067376C" w:rsidP="00587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4A3E" w14:textId="77777777" w:rsidR="00D9110E" w:rsidRDefault="00AD7E46" w:rsidP="004C3CA2">
    <w:pPr>
      <w:pStyle w:val="Header"/>
      <w:tabs>
        <w:tab w:val="clear" w:pos="8640"/>
        <w:tab w:val="right" w:pos="10632"/>
      </w:tabs>
      <w:ind w:left="426"/>
    </w:pPr>
    <w:r>
      <w:rPr>
        <w:noProof/>
        <w:lang w:val="en-GB" w:eastAsia="en-GB"/>
      </w:rPr>
      <w:drawing>
        <wp:inline distT="0" distB="0" distL="0" distR="0" wp14:anchorId="6D2B4A43" wp14:editId="6D2B4A44">
          <wp:extent cx="4916588" cy="73764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HA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6588" cy="7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110E">
      <w:rPr>
        <w:noProof/>
      </w:rPr>
      <w:tab/>
    </w:r>
    <w:r w:rsidR="00D9110E">
      <w:rPr>
        <w:noProof/>
      </w:rPr>
      <w:tab/>
    </w:r>
    <w:r w:rsidR="00D9110E" w:rsidRPr="00A52133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D9"/>
    <w:rsid w:val="00017C52"/>
    <w:rsid w:val="00055294"/>
    <w:rsid w:val="000B5C8D"/>
    <w:rsid w:val="000D1F1B"/>
    <w:rsid w:val="001D3F1D"/>
    <w:rsid w:val="002402CC"/>
    <w:rsid w:val="00242AC4"/>
    <w:rsid w:val="00297D24"/>
    <w:rsid w:val="003104AF"/>
    <w:rsid w:val="003932D2"/>
    <w:rsid w:val="00490FB0"/>
    <w:rsid w:val="004C3CA2"/>
    <w:rsid w:val="0055644D"/>
    <w:rsid w:val="00574A50"/>
    <w:rsid w:val="00575327"/>
    <w:rsid w:val="00587EDC"/>
    <w:rsid w:val="005C6DCD"/>
    <w:rsid w:val="005E6E2E"/>
    <w:rsid w:val="0061695D"/>
    <w:rsid w:val="0067376C"/>
    <w:rsid w:val="006C4705"/>
    <w:rsid w:val="006E7657"/>
    <w:rsid w:val="00747E4E"/>
    <w:rsid w:val="0076468F"/>
    <w:rsid w:val="007A2018"/>
    <w:rsid w:val="00864C70"/>
    <w:rsid w:val="008E5A7D"/>
    <w:rsid w:val="00927188"/>
    <w:rsid w:val="009902F2"/>
    <w:rsid w:val="009F0A37"/>
    <w:rsid w:val="00A52133"/>
    <w:rsid w:val="00AA7BFE"/>
    <w:rsid w:val="00AD7E46"/>
    <w:rsid w:val="00AE1449"/>
    <w:rsid w:val="00AF47EC"/>
    <w:rsid w:val="00B946AD"/>
    <w:rsid w:val="00C13046"/>
    <w:rsid w:val="00CF4322"/>
    <w:rsid w:val="00D1340F"/>
    <w:rsid w:val="00D9110E"/>
    <w:rsid w:val="00D94AD9"/>
    <w:rsid w:val="00DB0D4B"/>
    <w:rsid w:val="00E5526A"/>
    <w:rsid w:val="00EA3B98"/>
    <w:rsid w:val="00F361E2"/>
    <w:rsid w:val="00FC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2B497E"/>
  <w15:docId w15:val="{B79C02CE-4C70-4D83-8C51-63B81461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104"/>
      <w:outlineLvl w:val="0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EDC"/>
  </w:style>
  <w:style w:type="paragraph" w:styleId="Footer">
    <w:name w:val="footer"/>
    <w:basedOn w:val="Normal"/>
    <w:link w:val="FooterChar"/>
    <w:uiPriority w:val="99"/>
    <w:unhideWhenUsed/>
    <w:rsid w:val="00587E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EDC"/>
  </w:style>
  <w:style w:type="paragraph" w:styleId="BalloonText">
    <w:name w:val="Balloon Text"/>
    <w:basedOn w:val="Normal"/>
    <w:link w:val="BalloonTextChar"/>
    <w:uiPriority w:val="99"/>
    <w:semiHidden/>
    <w:unhideWhenUsed/>
    <w:rsid w:val="00A521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33"/>
    <w:rPr>
      <w:rFonts w:ascii="Lucida Grande" w:hAnsi="Lucida Grande" w:cs="Lucida Grand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52133"/>
    <w:rPr>
      <w:rFonts w:ascii="Arial" w:eastAsia="Arial" w:hAnsi="Arial"/>
      <w:sz w:val="19"/>
      <w:szCs w:val="19"/>
    </w:rPr>
  </w:style>
  <w:style w:type="character" w:styleId="PageNumber">
    <w:name w:val="page number"/>
    <w:basedOn w:val="DefaultParagraphFont"/>
    <w:uiPriority w:val="99"/>
    <w:semiHidden/>
    <w:unhideWhenUsed/>
    <w:rsid w:val="004C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f06dc9-744d-47b2-9f77-c9b629faf428">
      <UserInfo>
        <DisplayName>Shuhel Alom</DisplayName>
        <AccountId>19</AccountId>
        <AccountType/>
      </UserInfo>
    </SharedWithUsers>
    <lcf76f155ced4ddcb4097134ff3c332f xmlns="d18c56fa-1ce2-4be3-afa3-ead2430260ce">
      <Terms xmlns="http://schemas.microsoft.com/office/infopath/2007/PartnerControls"/>
    </lcf76f155ced4ddcb4097134ff3c332f>
    <TaxCatchAll xmlns="b4f06dc9-744d-47b2-9f77-c9b629faf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13BE951836C4182F78B028EC542D1" ma:contentTypeVersion="16" ma:contentTypeDescription="Create a new document." ma:contentTypeScope="" ma:versionID="65671d9949d7e40111af31b5b59ca702">
  <xsd:schema xmlns:xsd="http://www.w3.org/2001/XMLSchema" xmlns:xs="http://www.w3.org/2001/XMLSchema" xmlns:p="http://schemas.microsoft.com/office/2006/metadata/properties" xmlns:ns2="d18c56fa-1ce2-4be3-afa3-ead2430260ce" xmlns:ns3="b4f06dc9-744d-47b2-9f77-c9b629faf428" targetNamespace="http://schemas.microsoft.com/office/2006/metadata/properties" ma:root="true" ma:fieldsID="148308fa6d6dba4b4ddb7d2cb730d743" ns2:_="" ns3:_="">
    <xsd:import namespace="d18c56fa-1ce2-4be3-afa3-ead2430260ce"/>
    <xsd:import namespace="b4f06dc9-744d-47b2-9f77-c9b629faf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56fa-1ce2-4be3-afa3-ead243026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b57c6a-b00c-4cf6-ba5e-48f12dd5b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06dc9-744d-47b2-9f77-c9b629f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338083-ff5a-4223-af7b-f8a277cda637}" ma:internalName="TaxCatchAll" ma:showField="CatchAllData" ma:web="b4f06dc9-744d-47b2-9f77-c9b629faf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8D5B5-A632-4727-8AF8-DF5D61856CEC}">
  <ds:schemaRefs>
    <ds:schemaRef ds:uri="d18c56fa-1ce2-4be3-afa3-ead2430260ce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4f06dc9-744d-47b2-9f77-c9b629faf42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E4E967-C47B-44B5-877F-7031216901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DAB8D-51F2-41C6-B658-44A922900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c56fa-1ce2-4be3-afa3-ead2430260ce"/>
    <ds:schemaRef ds:uri="b4f06dc9-744d-47b2-9f77-c9b629faf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E8CE2A-9E21-4B7C-ABA6-271F8333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Diane Robertson Design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Ellis</dc:creator>
  <cp:lastModifiedBy>Jo Ellis</cp:lastModifiedBy>
  <cp:revision>2</cp:revision>
  <dcterms:created xsi:type="dcterms:W3CDTF">2023-07-18T15:18:00Z</dcterms:created>
  <dcterms:modified xsi:type="dcterms:W3CDTF">2023-07-18T15:18:00Z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2014-08-11T00:00:00Z</vt:filetime>
  </property>
  <property fmtid="{D5CDD505-2E9C-101B-9397-08002B2CF9AE}" pid="3" name="LastSaved">
    <vt:filetime>2014-08-11T00:00:00Z</vt:filetime>
  </property>
  <property fmtid="{D5CDD505-2E9C-101B-9397-08002B2CF9AE}" pid="4" name="ContentTypeId">
    <vt:lpwstr>0x010100D2413BE951836C4182F78B028EC542D1</vt:lpwstr>
  </property>
  <property fmtid="{D5CDD505-2E9C-101B-9397-08002B2CF9AE}" pid="5" name="Order">
    <vt:r8>136800</vt:r8>
  </property>
</Properties>
</file>