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90C7" w14:textId="236819D2" w:rsidR="00F3300D" w:rsidRDefault="007576B6" w:rsidP="008D0C18">
      <w:pPr>
        <w:spacing w:before="120" w:after="120" w:line="240" w:lineRule="auto"/>
        <w:rPr>
          <w:sz w:val="26"/>
          <w:szCs w:val="26"/>
        </w:rPr>
      </w:pPr>
      <w:r w:rsidRPr="00F3300D">
        <w:rPr>
          <w:sz w:val="26"/>
          <w:szCs w:val="26"/>
        </w:rPr>
        <w:drawing>
          <wp:anchor distT="0" distB="0" distL="114300" distR="114300" simplePos="0" relativeHeight="251653120" behindDoc="0" locked="0" layoutInCell="1" allowOverlap="1" wp14:anchorId="5920BFFD" wp14:editId="6BB348B4">
            <wp:simplePos x="0" y="0"/>
            <wp:positionH relativeFrom="page">
              <wp:align>right</wp:align>
            </wp:positionH>
            <wp:positionV relativeFrom="paragraph">
              <wp:posOffset>-919442</wp:posOffset>
            </wp:positionV>
            <wp:extent cx="7562850" cy="1584417"/>
            <wp:effectExtent l="0" t="0" r="0" b="0"/>
            <wp:wrapNone/>
            <wp:docPr id="441148269" name="Drawing 0" descr="85a2f82547a5e54e2b82680e64ca42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85a2f82547a5e54e2b82680e64ca42a8.png"/>
                    <pic:cNvPicPr>
                      <a:picLocks noChangeAspect="1"/>
                    </pic:cNvPicPr>
                  </pic:nvPicPr>
                  <pic:blipFill>
                    <a:blip r:embed="rId5"/>
                    <a:stretch>
                      <a:fillRect/>
                    </a:stretch>
                  </pic:blipFill>
                  <pic:spPr>
                    <a:xfrm>
                      <a:off x="0" y="0"/>
                      <a:ext cx="7562850" cy="1584417"/>
                    </a:xfrm>
                    <a:prstGeom prst="rect">
                      <a:avLst/>
                    </a:prstGeom>
                  </pic:spPr>
                </pic:pic>
              </a:graphicData>
            </a:graphic>
          </wp:anchor>
        </w:drawing>
      </w:r>
    </w:p>
    <w:p w14:paraId="71B90CB9" w14:textId="77777777" w:rsidR="007576B6" w:rsidRDefault="007576B6" w:rsidP="008D0C18">
      <w:pPr>
        <w:spacing w:before="120" w:after="120" w:line="240" w:lineRule="auto"/>
        <w:rPr>
          <w:sz w:val="26"/>
          <w:szCs w:val="26"/>
        </w:rPr>
      </w:pPr>
    </w:p>
    <w:p w14:paraId="5EEEE133" w14:textId="77777777" w:rsidR="007576B6" w:rsidRDefault="007576B6" w:rsidP="008D0C18">
      <w:pPr>
        <w:spacing w:before="120" w:after="120" w:line="240" w:lineRule="auto"/>
        <w:rPr>
          <w:sz w:val="26"/>
          <w:szCs w:val="26"/>
        </w:rPr>
      </w:pPr>
    </w:p>
    <w:p w14:paraId="33EE1CE2" w14:textId="6A6BD4EB" w:rsidR="008D0C18" w:rsidRDefault="008D0C18" w:rsidP="008D0C18">
      <w:pPr>
        <w:spacing w:before="120" w:after="120" w:line="240" w:lineRule="auto"/>
        <w:rPr>
          <w:sz w:val="26"/>
          <w:szCs w:val="26"/>
        </w:rPr>
      </w:pPr>
      <w:r w:rsidRPr="00F3300D">
        <w:rPr>
          <w:sz w:val="26"/>
          <w:szCs w:val="26"/>
        </w:rPr>
        <w:t xml:space="preserve">A good home is a vital building block for good health. This resource is for use by health and social care professionals who have patients with housing problems. It is intended to demystify the housing system and support health and social care professionals to steer residents to the right sources of support. </w:t>
      </w:r>
    </w:p>
    <w:p w14:paraId="3F09E621" w14:textId="77777777" w:rsidR="007576B6" w:rsidRPr="00F3300D" w:rsidRDefault="007576B6" w:rsidP="008D0C18">
      <w:pPr>
        <w:spacing w:before="120" w:after="120" w:line="240" w:lineRule="auto"/>
        <w:rPr>
          <w:sz w:val="26"/>
          <w:szCs w:val="26"/>
        </w:rPr>
      </w:pPr>
    </w:p>
    <w:p w14:paraId="3B8D9382" w14:textId="0D66E0A5" w:rsidR="007F0D2A" w:rsidRPr="007576B6" w:rsidRDefault="008D0C18" w:rsidP="008D0C18">
      <w:pPr>
        <w:spacing w:line="240" w:lineRule="auto"/>
        <w:rPr>
          <w:rFonts w:eastAsia="Public Sans Heavy" w:cs="Public Sans Heavy"/>
          <w:b/>
          <w:color w:val="4C94D8" w:themeColor="text2" w:themeTint="80"/>
          <w:sz w:val="42"/>
          <w:szCs w:val="42"/>
        </w:rPr>
      </w:pPr>
      <w:r w:rsidRPr="007576B6">
        <w:rPr>
          <w:rFonts w:eastAsia="Public Sans Heavy" w:cs="Public Sans Heavy"/>
          <w:b/>
          <w:color w:val="4C94D8" w:themeColor="text2" w:themeTint="80"/>
          <w:sz w:val="42"/>
          <w:szCs w:val="42"/>
        </w:rPr>
        <w:t>How the social housing register works</w:t>
      </w:r>
    </w:p>
    <w:p w14:paraId="07691C9B" w14:textId="4C82BAC2" w:rsidR="008D0C18" w:rsidRPr="00F3300D" w:rsidRDefault="008D0C18" w:rsidP="008D0C18">
      <w:pPr>
        <w:spacing w:before="120" w:after="120" w:line="240" w:lineRule="auto"/>
        <w:rPr>
          <w:rFonts w:eastAsia="Helvetica World" w:cs="Helvetica World"/>
          <w:color w:val="000000" w:themeColor="text1"/>
          <w:sz w:val="26"/>
          <w:szCs w:val="26"/>
        </w:rPr>
      </w:pPr>
      <w:r w:rsidRPr="00F3300D">
        <w:rPr>
          <w:rFonts w:eastAsia="Helvetica World" w:cs="Helvetica World"/>
          <w:color w:val="000000" w:themeColor="text1"/>
          <w:sz w:val="26"/>
          <w:szCs w:val="26"/>
        </w:rPr>
        <w:t xml:space="preserve">Social housing is rented from the Council </w:t>
      </w:r>
      <w:r w:rsidRPr="00F3300D">
        <w:rPr>
          <w:rFonts w:eastAsia="Helvetica World Italics" w:cs="Helvetica World Italics"/>
          <w:i/>
          <w:color w:val="000000" w:themeColor="text1"/>
          <w:sz w:val="26"/>
          <w:szCs w:val="26"/>
        </w:rPr>
        <w:t xml:space="preserve">or </w:t>
      </w:r>
      <w:r w:rsidRPr="00F3300D">
        <w:rPr>
          <w:rFonts w:eastAsia="Helvetica World" w:cs="Helvetica World"/>
          <w:color w:val="000000" w:themeColor="text1"/>
          <w:sz w:val="26"/>
          <w:szCs w:val="26"/>
        </w:rPr>
        <w:t>housing associations (</w:t>
      </w:r>
      <w:proofErr w:type="spellStart"/>
      <w:r w:rsidRPr="00F3300D">
        <w:rPr>
          <w:rFonts w:eastAsia="Helvetica World" w:cs="Helvetica World"/>
          <w:color w:val="000000" w:themeColor="text1"/>
          <w:sz w:val="26"/>
          <w:szCs w:val="26"/>
        </w:rPr>
        <w:t>e.g</w:t>
      </w:r>
      <w:proofErr w:type="spellEnd"/>
      <w:r w:rsidRPr="00F3300D">
        <w:rPr>
          <w:rFonts w:eastAsia="Helvetica World" w:cs="Helvetica World"/>
          <w:color w:val="000000" w:themeColor="text1"/>
          <w:sz w:val="26"/>
          <w:szCs w:val="26"/>
        </w:rPr>
        <w:t xml:space="preserve"> Clarion, Poplar HARCA).  It is affordable, offers secure tenancies and protected rights. Although there are many different social landlords, </w:t>
      </w:r>
      <w:proofErr w:type="gramStart"/>
      <w:r w:rsidRPr="00F3300D">
        <w:rPr>
          <w:rFonts w:eastAsia="Helvetica World" w:cs="Helvetica World"/>
          <w:color w:val="000000" w:themeColor="text1"/>
          <w:sz w:val="26"/>
          <w:szCs w:val="26"/>
        </w:rPr>
        <w:t>all of</w:t>
      </w:r>
      <w:proofErr w:type="gramEnd"/>
      <w:r w:rsidRPr="00F3300D">
        <w:rPr>
          <w:rFonts w:eastAsia="Helvetica World" w:cs="Helvetica World"/>
          <w:color w:val="000000" w:themeColor="text1"/>
          <w:sz w:val="26"/>
          <w:szCs w:val="26"/>
        </w:rPr>
        <w:t xml:space="preserve"> the homes are rented via the common housing register.  </w:t>
      </w:r>
    </w:p>
    <w:p w14:paraId="667B1117" w14:textId="502103E4" w:rsidR="008D0C18" w:rsidRPr="00F3300D" w:rsidRDefault="008D0C18" w:rsidP="008D0C18">
      <w:pPr>
        <w:spacing w:before="120" w:after="120" w:line="240" w:lineRule="auto"/>
        <w:rPr>
          <w:rFonts w:eastAsia="Helvetica World" w:cs="Helvetica World"/>
          <w:b/>
          <w:color w:val="000000" w:themeColor="text1"/>
          <w:sz w:val="26"/>
          <w:szCs w:val="26"/>
        </w:rPr>
      </w:pPr>
      <w:r w:rsidRPr="00F3300D">
        <w:rPr>
          <w:rFonts w:eastAsia="Helvetica World" w:cs="Helvetica World"/>
          <w:color w:val="000000" w:themeColor="text1"/>
          <w:sz w:val="26"/>
          <w:szCs w:val="26"/>
        </w:rPr>
        <w:t>The Common Housing Register is the list of people waiting for Social Housing. There are currently over 24,399 households on the register (January 2024).</w:t>
      </w:r>
    </w:p>
    <w:p w14:paraId="1A4B94B2" w14:textId="77777777" w:rsidR="008D0C18" w:rsidRPr="00F3300D" w:rsidRDefault="008D0C18" w:rsidP="008D0C18">
      <w:pPr>
        <w:spacing w:before="120" w:after="120" w:line="240" w:lineRule="auto"/>
        <w:rPr>
          <w:bCs/>
          <w:sz w:val="26"/>
          <w:szCs w:val="26"/>
        </w:rPr>
      </w:pPr>
      <w:r w:rsidRPr="00F3300D">
        <w:rPr>
          <w:rFonts w:eastAsia="Helvetica World Bold" w:cs="Helvetica World Bold"/>
          <w:bCs/>
          <w:color w:val="000000"/>
          <w:sz w:val="26"/>
          <w:szCs w:val="26"/>
        </w:rPr>
        <w:t xml:space="preserve">When joining the Common Housing Register, residents are allocated a band indicating the priority they have been granted:  </w:t>
      </w:r>
    </w:p>
    <w:p w14:paraId="6094355F" w14:textId="77777777" w:rsidR="008D0C18" w:rsidRPr="00F3300D" w:rsidRDefault="008D0C18" w:rsidP="008D0C18">
      <w:pPr>
        <w:spacing w:before="120" w:after="120" w:line="240" w:lineRule="auto"/>
        <w:rPr>
          <w:sz w:val="26"/>
          <w:szCs w:val="26"/>
        </w:rPr>
      </w:pPr>
      <w:r w:rsidRPr="00F3300D">
        <w:rPr>
          <w:rFonts w:eastAsia="Helvetica World" w:cs="Helvetica World"/>
          <w:color w:val="000000"/>
          <w:sz w:val="26"/>
          <w:szCs w:val="26"/>
        </w:rPr>
        <w:t xml:space="preserve">Band 1: high priority need - emergencies, priority decants, under-occupiers, priority medical/ social, other priority target </w:t>
      </w:r>
      <w:proofErr w:type="gramStart"/>
      <w:r w:rsidRPr="00F3300D">
        <w:rPr>
          <w:rFonts w:eastAsia="Helvetica World" w:cs="Helvetica World"/>
          <w:color w:val="000000"/>
          <w:sz w:val="26"/>
          <w:szCs w:val="26"/>
        </w:rPr>
        <w:t>groups</w:t>
      </w:r>
      <w:proofErr w:type="gramEnd"/>
      <w:r w:rsidRPr="00F3300D">
        <w:rPr>
          <w:rFonts w:eastAsia="Helvetica World" w:cs="Helvetica World"/>
          <w:color w:val="000000"/>
          <w:sz w:val="26"/>
          <w:szCs w:val="26"/>
        </w:rPr>
        <w:t xml:space="preserve"> </w:t>
      </w:r>
    </w:p>
    <w:p w14:paraId="30D06D02" w14:textId="77777777" w:rsidR="008D0C18" w:rsidRPr="00F3300D" w:rsidRDefault="008D0C18" w:rsidP="008D0C18">
      <w:pPr>
        <w:spacing w:before="120" w:after="120" w:line="240" w:lineRule="auto"/>
        <w:rPr>
          <w:sz w:val="26"/>
          <w:szCs w:val="26"/>
        </w:rPr>
      </w:pPr>
      <w:r w:rsidRPr="00F3300D">
        <w:rPr>
          <w:rFonts w:eastAsia="Helvetica World" w:cs="Helvetica World"/>
          <w:color w:val="000000"/>
          <w:sz w:val="26"/>
          <w:szCs w:val="26"/>
        </w:rPr>
        <w:t xml:space="preserve">Band 2: priority need - overcrowded applicants, homeless applicants, applicants in housing need without a local connection </w:t>
      </w:r>
    </w:p>
    <w:p w14:paraId="3F7C1647" w14:textId="59186C50" w:rsidR="007576B6" w:rsidRDefault="008D0C18" w:rsidP="008D0C18">
      <w:pPr>
        <w:spacing w:line="240" w:lineRule="auto"/>
        <w:rPr>
          <w:rFonts w:eastAsia="Helvetica World" w:cs="Helvetica World"/>
          <w:color w:val="000000"/>
          <w:sz w:val="26"/>
          <w:szCs w:val="26"/>
        </w:rPr>
      </w:pPr>
      <w:r w:rsidRPr="00F3300D">
        <w:rPr>
          <w:rFonts w:eastAsia="Helvetica World" w:cs="Helvetica World"/>
          <w:color w:val="000000"/>
          <w:sz w:val="26"/>
          <w:szCs w:val="26"/>
        </w:rPr>
        <w:t>Band 3: general housing option</w:t>
      </w:r>
      <w:r w:rsidR="00F3300D" w:rsidRPr="00F3300D">
        <w:rPr>
          <w:rFonts w:eastAsia="Helvetica World" w:cs="Helvetica World"/>
          <w:color w:val="000000"/>
          <w:sz w:val="26"/>
          <w:szCs w:val="26"/>
        </w:rPr>
        <w:t>s</w:t>
      </w:r>
    </w:p>
    <w:p w14:paraId="7424A4F6" w14:textId="77777777" w:rsidR="007576B6" w:rsidRDefault="007576B6" w:rsidP="008D0C18">
      <w:pPr>
        <w:spacing w:line="240" w:lineRule="auto"/>
        <w:rPr>
          <w:rFonts w:eastAsia="Helvetica World" w:cs="Helvetica World"/>
          <w:color w:val="000000"/>
          <w:sz w:val="26"/>
          <w:szCs w:val="26"/>
        </w:rPr>
      </w:pPr>
    </w:p>
    <w:p w14:paraId="66496339" w14:textId="6CE89D3D" w:rsidR="007576B6" w:rsidRPr="00F3300D" w:rsidRDefault="007576B6" w:rsidP="008D0C18">
      <w:pPr>
        <w:spacing w:line="240" w:lineRule="auto"/>
        <w:rPr>
          <w:rFonts w:eastAsia="Helvetica World" w:cs="Helvetica World"/>
          <w:color w:val="000000"/>
          <w:sz w:val="26"/>
          <w:szCs w:val="26"/>
        </w:rPr>
      </w:pPr>
      <w:r>
        <w:rPr>
          <w:rFonts w:ascii="Helvetica World Bold" w:eastAsia="Helvetica World Bold" w:hAnsi="Helvetica World Bold" w:cs="Helvetica World Bold"/>
          <w:b/>
          <w:bCs/>
          <w:color w:val="000000"/>
          <w:sz w:val="20"/>
          <w:szCs w:val="20"/>
        </w:rPr>
        <w:t>Average waiting time in years, based on actual lets for the financial year 2023/24:</w:t>
      </w:r>
    </w:p>
    <w:tbl>
      <w:tblPr>
        <w:tblW w:w="8053" w:type="dxa"/>
        <w:tblInd w:w="22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CellMar>
          <w:left w:w="10" w:type="dxa"/>
          <w:right w:w="10" w:type="dxa"/>
        </w:tblCellMar>
        <w:tblLook w:val="0000" w:firstRow="0" w:lastRow="0" w:firstColumn="0" w:lastColumn="0" w:noHBand="0" w:noVBand="0"/>
      </w:tblPr>
      <w:tblGrid>
        <w:gridCol w:w="1441"/>
        <w:gridCol w:w="1295"/>
        <w:gridCol w:w="1295"/>
        <w:gridCol w:w="1294"/>
        <w:gridCol w:w="1364"/>
        <w:gridCol w:w="1364"/>
      </w:tblGrid>
      <w:tr w:rsidR="008D0C18" w14:paraId="647A6693" w14:textId="77777777" w:rsidTr="007576B6">
        <w:tc>
          <w:tcPr>
            <w:tcW w:w="1441" w:type="dxa"/>
            <w:tcBorders>
              <w:top w:val="single" w:sz="12" w:space="0" w:color="CCCCCC"/>
              <w:left w:val="single" w:sz="12" w:space="0" w:color="CCCCCC"/>
              <w:bottom w:val="single" w:sz="12" w:space="0" w:color="CCCCCC"/>
              <w:right w:val="single" w:sz="12" w:space="0" w:color="CCCCCC"/>
            </w:tcBorders>
            <w:shd w:val="clear" w:color="auto" w:fill="E6E6E6"/>
            <w:tcMar>
              <w:top w:w="150" w:type="dxa"/>
              <w:left w:w="150" w:type="dxa"/>
              <w:bottom w:w="150" w:type="dxa"/>
              <w:right w:w="150" w:type="dxa"/>
            </w:tcMar>
          </w:tcPr>
          <w:p w14:paraId="3C2E4A6D"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Studio </w:t>
            </w:r>
          </w:p>
        </w:tc>
        <w:tc>
          <w:tcPr>
            <w:tcW w:w="1295" w:type="dxa"/>
            <w:tcBorders>
              <w:top w:val="single" w:sz="12" w:space="0" w:color="CCCCCC"/>
              <w:left w:val="single" w:sz="12" w:space="0" w:color="CCCCCC"/>
              <w:bottom w:val="single" w:sz="12" w:space="0" w:color="CCCCCC"/>
              <w:right w:val="single" w:sz="12" w:space="0" w:color="CCCCCC"/>
            </w:tcBorders>
            <w:shd w:val="clear" w:color="auto" w:fill="E6E6E6"/>
            <w:tcMar>
              <w:top w:w="150" w:type="dxa"/>
              <w:left w:w="150" w:type="dxa"/>
              <w:bottom w:w="150" w:type="dxa"/>
              <w:right w:w="150" w:type="dxa"/>
            </w:tcMar>
          </w:tcPr>
          <w:p w14:paraId="56EA0F0A"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1 Bed </w:t>
            </w:r>
          </w:p>
        </w:tc>
        <w:tc>
          <w:tcPr>
            <w:tcW w:w="1295" w:type="dxa"/>
            <w:tcBorders>
              <w:top w:val="single" w:sz="12" w:space="0" w:color="CCCCCC"/>
              <w:left w:val="single" w:sz="12" w:space="0" w:color="CCCCCC"/>
              <w:bottom w:val="single" w:sz="12" w:space="0" w:color="CCCCCC"/>
              <w:right w:val="single" w:sz="12" w:space="0" w:color="CCCCCC"/>
            </w:tcBorders>
            <w:shd w:val="clear" w:color="auto" w:fill="E6E6E6"/>
            <w:tcMar>
              <w:top w:w="150" w:type="dxa"/>
              <w:left w:w="150" w:type="dxa"/>
              <w:bottom w:w="150" w:type="dxa"/>
              <w:right w:w="150" w:type="dxa"/>
            </w:tcMar>
          </w:tcPr>
          <w:p w14:paraId="6C4FCB7F"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2 Bed </w:t>
            </w:r>
          </w:p>
        </w:tc>
        <w:tc>
          <w:tcPr>
            <w:tcW w:w="1294" w:type="dxa"/>
            <w:tcBorders>
              <w:top w:val="single" w:sz="12" w:space="0" w:color="CCCCCC"/>
              <w:left w:val="single" w:sz="12" w:space="0" w:color="CCCCCC"/>
              <w:bottom w:val="single" w:sz="12" w:space="0" w:color="CCCCCC"/>
              <w:right w:val="single" w:sz="12" w:space="0" w:color="CCCCCC"/>
            </w:tcBorders>
            <w:shd w:val="clear" w:color="auto" w:fill="E6E6E6"/>
            <w:tcMar>
              <w:top w:w="150" w:type="dxa"/>
              <w:left w:w="150" w:type="dxa"/>
              <w:bottom w:w="150" w:type="dxa"/>
              <w:right w:w="150" w:type="dxa"/>
            </w:tcMar>
          </w:tcPr>
          <w:p w14:paraId="4C3EB14F"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3 Bed </w:t>
            </w:r>
          </w:p>
        </w:tc>
        <w:tc>
          <w:tcPr>
            <w:tcW w:w="1364" w:type="dxa"/>
            <w:tcBorders>
              <w:top w:val="single" w:sz="12" w:space="0" w:color="CCCCCC"/>
              <w:left w:val="single" w:sz="12" w:space="0" w:color="CCCCCC"/>
              <w:bottom w:val="single" w:sz="12" w:space="0" w:color="CCCCCC"/>
              <w:right w:val="single" w:sz="12" w:space="0" w:color="CCCCCC"/>
            </w:tcBorders>
            <w:shd w:val="clear" w:color="auto" w:fill="E6E6E6"/>
            <w:tcMar>
              <w:top w:w="150" w:type="dxa"/>
              <w:left w:w="150" w:type="dxa"/>
              <w:bottom w:w="150" w:type="dxa"/>
              <w:right w:w="150" w:type="dxa"/>
            </w:tcMar>
          </w:tcPr>
          <w:p w14:paraId="1C250C60"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4 Beds </w:t>
            </w:r>
          </w:p>
        </w:tc>
        <w:tc>
          <w:tcPr>
            <w:tcW w:w="1364" w:type="dxa"/>
            <w:tcBorders>
              <w:top w:val="single" w:sz="12" w:space="0" w:color="CCCCCC"/>
              <w:left w:val="single" w:sz="12" w:space="0" w:color="CCCCCC"/>
              <w:bottom w:val="single" w:sz="12" w:space="0" w:color="CCCCCC"/>
              <w:right w:val="single" w:sz="12" w:space="0" w:color="CCCCCC"/>
            </w:tcBorders>
            <w:shd w:val="clear" w:color="auto" w:fill="E6E6E6"/>
            <w:tcMar>
              <w:top w:w="150" w:type="dxa"/>
              <w:left w:w="150" w:type="dxa"/>
              <w:bottom w:w="150" w:type="dxa"/>
              <w:right w:w="150" w:type="dxa"/>
            </w:tcMar>
          </w:tcPr>
          <w:p w14:paraId="54588F32"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5+ Beds </w:t>
            </w:r>
          </w:p>
        </w:tc>
      </w:tr>
      <w:tr w:rsidR="008D0C18" w14:paraId="239733A1" w14:textId="77777777" w:rsidTr="007576B6">
        <w:tc>
          <w:tcPr>
            <w:tcW w:w="1441"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46BE0771"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2 </w:t>
            </w:r>
          </w:p>
        </w:tc>
        <w:tc>
          <w:tcPr>
            <w:tcW w:w="1295"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0330656D"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3 </w:t>
            </w:r>
          </w:p>
        </w:tc>
        <w:tc>
          <w:tcPr>
            <w:tcW w:w="1295"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72AFC53C"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5 </w:t>
            </w:r>
          </w:p>
        </w:tc>
        <w:tc>
          <w:tcPr>
            <w:tcW w:w="1294"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5C2E894E"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7 </w:t>
            </w:r>
          </w:p>
        </w:tc>
        <w:tc>
          <w:tcPr>
            <w:tcW w:w="1364"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00566582"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7 </w:t>
            </w:r>
          </w:p>
        </w:tc>
        <w:tc>
          <w:tcPr>
            <w:tcW w:w="1364"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0D80DC7C"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11 </w:t>
            </w:r>
          </w:p>
        </w:tc>
      </w:tr>
      <w:tr w:rsidR="008D0C18" w14:paraId="32F6E867" w14:textId="77777777" w:rsidTr="007576B6">
        <w:tc>
          <w:tcPr>
            <w:tcW w:w="1441"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7AA45A45"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5 </w:t>
            </w:r>
          </w:p>
        </w:tc>
        <w:tc>
          <w:tcPr>
            <w:tcW w:w="1295"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0E27F09F"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6 </w:t>
            </w:r>
          </w:p>
        </w:tc>
        <w:tc>
          <w:tcPr>
            <w:tcW w:w="1295"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2D46B870"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7 </w:t>
            </w:r>
          </w:p>
        </w:tc>
        <w:tc>
          <w:tcPr>
            <w:tcW w:w="1294"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0D1E6EC4"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12 </w:t>
            </w:r>
          </w:p>
        </w:tc>
        <w:tc>
          <w:tcPr>
            <w:tcW w:w="1364"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638C1304"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12 </w:t>
            </w:r>
          </w:p>
        </w:tc>
        <w:tc>
          <w:tcPr>
            <w:tcW w:w="1364" w:type="dxa"/>
            <w:tcBorders>
              <w:top w:val="single" w:sz="12" w:space="0" w:color="CCCCCC"/>
              <w:left w:val="single" w:sz="12" w:space="0" w:color="CCCCCC"/>
              <w:bottom w:val="single" w:sz="12" w:space="0" w:color="CCCCCC"/>
              <w:right w:val="single" w:sz="12" w:space="0" w:color="CCCCCC"/>
            </w:tcBorders>
            <w:tcMar>
              <w:top w:w="150" w:type="dxa"/>
              <w:left w:w="150" w:type="dxa"/>
              <w:bottom w:w="150" w:type="dxa"/>
              <w:right w:w="150" w:type="dxa"/>
            </w:tcMar>
          </w:tcPr>
          <w:p w14:paraId="0FC27B0A"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No </w:t>
            </w:r>
            <w:proofErr w:type="gramStart"/>
            <w:r>
              <w:rPr>
                <w:rFonts w:ascii="Helvetica World" w:eastAsia="Helvetica World" w:hAnsi="Helvetica World" w:cs="Helvetica World"/>
                <w:color w:val="000000"/>
                <w:sz w:val="20"/>
                <w:szCs w:val="20"/>
              </w:rPr>
              <w:t>lets</w:t>
            </w:r>
            <w:proofErr w:type="gramEnd"/>
            <w:r>
              <w:rPr>
                <w:rFonts w:ascii="Helvetica World" w:eastAsia="Helvetica World" w:hAnsi="Helvetica World" w:cs="Helvetica World"/>
                <w:color w:val="000000"/>
                <w:sz w:val="20"/>
                <w:szCs w:val="20"/>
              </w:rPr>
              <w:t xml:space="preserve"> </w:t>
            </w:r>
          </w:p>
        </w:tc>
      </w:tr>
      <w:tr w:rsidR="008D0C18" w14:paraId="51628522" w14:textId="77777777" w:rsidTr="007576B6">
        <w:tc>
          <w:tcPr>
            <w:tcW w:w="1441" w:type="dxa"/>
            <w:tcBorders>
              <w:top w:val="single" w:sz="12" w:space="0" w:color="CCCCCC"/>
              <w:left w:val="single" w:sz="12" w:space="0" w:color="CCCCCC"/>
              <w:bottom w:val="single" w:sz="4" w:space="0" w:color="auto"/>
              <w:right w:val="single" w:sz="12" w:space="0" w:color="CCCCCC"/>
            </w:tcBorders>
            <w:tcMar>
              <w:top w:w="150" w:type="dxa"/>
              <w:left w:w="150" w:type="dxa"/>
              <w:bottom w:w="150" w:type="dxa"/>
              <w:right w:w="150" w:type="dxa"/>
            </w:tcMar>
          </w:tcPr>
          <w:p w14:paraId="453E92FB"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10 </w:t>
            </w:r>
          </w:p>
        </w:tc>
        <w:tc>
          <w:tcPr>
            <w:tcW w:w="1295" w:type="dxa"/>
            <w:tcBorders>
              <w:top w:val="single" w:sz="12" w:space="0" w:color="CCCCCC"/>
              <w:left w:val="single" w:sz="12" w:space="0" w:color="CCCCCC"/>
              <w:bottom w:val="single" w:sz="4" w:space="0" w:color="auto"/>
              <w:right w:val="single" w:sz="12" w:space="0" w:color="CCCCCC"/>
            </w:tcBorders>
            <w:tcMar>
              <w:top w:w="150" w:type="dxa"/>
              <w:left w:w="150" w:type="dxa"/>
              <w:bottom w:w="150" w:type="dxa"/>
              <w:right w:w="150" w:type="dxa"/>
            </w:tcMar>
          </w:tcPr>
          <w:p w14:paraId="0C997FAD"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6 </w:t>
            </w:r>
          </w:p>
        </w:tc>
        <w:tc>
          <w:tcPr>
            <w:tcW w:w="1295" w:type="dxa"/>
            <w:tcBorders>
              <w:top w:val="single" w:sz="12" w:space="0" w:color="CCCCCC"/>
              <w:left w:val="single" w:sz="12" w:space="0" w:color="CCCCCC"/>
              <w:bottom w:val="single" w:sz="4" w:space="0" w:color="auto"/>
              <w:right w:val="single" w:sz="12" w:space="0" w:color="CCCCCC"/>
            </w:tcBorders>
            <w:tcMar>
              <w:top w:w="150" w:type="dxa"/>
              <w:left w:w="150" w:type="dxa"/>
              <w:bottom w:w="150" w:type="dxa"/>
              <w:right w:w="150" w:type="dxa"/>
            </w:tcMar>
          </w:tcPr>
          <w:p w14:paraId="77C3D72D"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No </w:t>
            </w:r>
            <w:proofErr w:type="gramStart"/>
            <w:r>
              <w:rPr>
                <w:rFonts w:ascii="Helvetica World" w:eastAsia="Helvetica World" w:hAnsi="Helvetica World" w:cs="Helvetica World"/>
                <w:color w:val="000000"/>
                <w:sz w:val="20"/>
                <w:szCs w:val="20"/>
              </w:rPr>
              <w:t>lets</w:t>
            </w:r>
            <w:proofErr w:type="gramEnd"/>
            <w:r>
              <w:rPr>
                <w:rFonts w:ascii="Helvetica World" w:eastAsia="Helvetica World" w:hAnsi="Helvetica World" w:cs="Helvetica World"/>
                <w:color w:val="000000"/>
                <w:sz w:val="20"/>
                <w:szCs w:val="20"/>
              </w:rPr>
              <w:t xml:space="preserve"> </w:t>
            </w:r>
          </w:p>
        </w:tc>
        <w:tc>
          <w:tcPr>
            <w:tcW w:w="1294" w:type="dxa"/>
            <w:tcBorders>
              <w:top w:val="single" w:sz="12" w:space="0" w:color="CCCCCC"/>
              <w:left w:val="single" w:sz="12" w:space="0" w:color="CCCCCC"/>
              <w:bottom w:val="single" w:sz="4" w:space="0" w:color="auto"/>
              <w:right w:val="single" w:sz="12" w:space="0" w:color="CCCCCC"/>
            </w:tcBorders>
            <w:tcMar>
              <w:top w:w="150" w:type="dxa"/>
              <w:left w:w="150" w:type="dxa"/>
              <w:bottom w:w="150" w:type="dxa"/>
              <w:right w:w="150" w:type="dxa"/>
            </w:tcMar>
          </w:tcPr>
          <w:p w14:paraId="2F22D68E"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No </w:t>
            </w:r>
            <w:proofErr w:type="gramStart"/>
            <w:r>
              <w:rPr>
                <w:rFonts w:ascii="Helvetica World" w:eastAsia="Helvetica World" w:hAnsi="Helvetica World" w:cs="Helvetica World"/>
                <w:color w:val="000000"/>
                <w:sz w:val="20"/>
                <w:szCs w:val="20"/>
              </w:rPr>
              <w:t>lets</w:t>
            </w:r>
            <w:proofErr w:type="gramEnd"/>
            <w:r>
              <w:rPr>
                <w:rFonts w:ascii="Helvetica World" w:eastAsia="Helvetica World" w:hAnsi="Helvetica World" w:cs="Helvetica World"/>
                <w:color w:val="000000"/>
                <w:sz w:val="20"/>
                <w:szCs w:val="20"/>
              </w:rPr>
              <w:t xml:space="preserve"> </w:t>
            </w:r>
          </w:p>
        </w:tc>
        <w:tc>
          <w:tcPr>
            <w:tcW w:w="1364" w:type="dxa"/>
            <w:tcBorders>
              <w:top w:val="single" w:sz="12" w:space="0" w:color="CCCCCC"/>
              <w:left w:val="single" w:sz="12" w:space="0" w:color="CCCCCC"/>
              <w:bottom w:val="single" w:sz="4" w:space="0" w:color="auto"/>
              <w:right w:val="single" w:sz="12" w:space="0" w:color="CCCCCC"/>
            </w:tcBorders>
            <w:tcMar>
              <w:top w:w="150" w:type="dxa"/>
              <w:left w:w="150" w:type="dxa"/>
              <w:bottom w:w="150" w:type="dxa"/>
              <w:right w:w="150" w:type="dxa"/>
            </w:tcMar>
          </w:tcPr>
          <w:p w14:paraId="668DCD24"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No </w:t>
            </w:r>
            <w:proofErr w:type="gramStart"/>
            <w:r>
              <w:rPr>
                <w:rFonts w:ascii="Helvetica World" w:eastAsia="Helvetica World" w:hAnsi="Helvetica World" w:cs="Helvetica World"/>
                <w:color w:val="000000"/>
                <w:sz w:val="20"/>
                <w:szCs w:val="20"/>
              </w:rPr>
              <w:t>lets</w:t>
            </w:r>
            <w:proofErr w:type="gramEnd"/>
            <w:r>
              <w:rPr>
                <w:rFonts w:ascii="Helvetica World" w:eastAsia="Helvetica World" w:hAnsi="Helvetica World" w:cs="Helvetica World"/>
                <w:color w:val="000000"/>
                <w:sz w:val="20"/>
                <w:szCs w:val="20"/>
              </w:rPr>
              <w:t xml:space="preserve"> </w:t>
            </w:r>
          </w:p>
        </w:tc>
        <w:tc>
          <w:tcPr>
            <w:tcW w:w="1364" w:type="dxa"/>
            <w:tcBorders>
              <w:top w:val="single" w:sz="12" w:space="0" w:color="CCCCCC"/>
              <w:left w:val="single" w:sz="12" w:space="0" w:color="CCCCCC"/>
              <w:bottom w:val="single" w:sz="4" w:space="0" w:color="auto"/>
              <w:right w:val="single" w:sz="12" w:space="0" w:color="CCCCCC"/>
            </w:tcBorders>
            <w:tcMar>
              <w:top w:w="150" w:type="dxa"/>
              <w:left w:w="150" w:type="dxa"/>
              <w:bottom w:w="150" w:type="dxa"/>
              <w:right w:w="150" w:type="dxa"/>
            </w:tcMar>
          </w:tcPr>
          <w:p w14:paraId="6903C9D3" w14:textId="77777777" w:rsidR="008D0C18" w:rsidRDefault="008D0C18" w:rsidP="00543EFE">
            <w:pPr>
              <w:spacing w:before="120" w:after="120" w:line="336" w:lineRule="auto"/>
            </w:pPr>
            <w:r>
              <w:rPr>
                <w:rFonts w:ascii="Helvetica World" w:eastAsia="Helvetica World" w:hAnsi="Helvetica World" w:cs="Helvetica World"/>
                <w:color w:val="000000"/>
                <w:sz w:val="20"/>
                <w:szCs w:val="20"/>
              </w:rPr>
              <w:t xml:space="preserve">No </w:t>
            </w:r>
            <w:proofErr w:type="gramStart"/>
            <w:r>
              <w:rPr>
                <w:rFonts w:ascii="Helvetica World" w:eastAsia="Helvetica World" w:hAnsi="Helvetica World" w:cs="Helvetica World"/>
                <w:color w:val="000000"/>
                <w:sz w:val="20"/>
                <w:szCs w:val="20"/>
              </w:rPr>
              <w:t>lets</w:t>
            </w:r>
            <w:proofErr w:type="gramEnd"/>
            <w:r>
              <w:rPr>
                <w:rFonts w:ascii="Helvetica World" w:eastAsia="Helvetica World" w:hAnsi="Helvetica World" w:cs="Helvetica World"/>
                <w:color w:val="000000"/>
                <w:sz w:val="20"/>
                <w:szCs w:val="20"/>
              </w:rPr>
              <w:t xml:space="preserve"> </w:t>
            </w:r>
          </w:p>
        </w:tc>
      </w:tr>
    </w:tbl>
    <w:p w14:paraId="7E921214" w14:textId="77777777" w:rsidR="007576B6" w:rsidRDefault="007576B6">
      <w:pPr>
        <w:spacing w:line="240" w:lineRule="auto"/>
        <w:rPr>
          <w:b/>
          <w:bCs/>
          <w:color w:val="4C94D8" w:themeColor="text2" w:themeTint="80"/>
          <w:sz w:val="42"/>
          <w:szCs w:val="42"/>
        </w:rPr>
      </w:pPr>
    </w:p>
    <w:p w14:paraId="6C803B30" w14:textId="79CE68A9" w:rsidR="008D0C18" w:rsidRDefault="008D0C18">
      <w:pPr>
        <w:spacing w:line="240" w:lineRule="auto"/>
        <w:rPr>
          <w:b/>
          <w:bCs/>
          <w:color w:val="4C94D8" w:themeColor="text2" w:themeTint="80"/>
          <w:sz w:val="42"/>
          <w:szCs w:val="42"/>
        </w:rPr>
      </w:pPr>
      <w:r w:rsidRPr="008D0C18">
        <w:rPr>
          <w:b/>
          <w:bCs/>
          <w:color w:val="4C94D8" w:themeColor="text2" w:themeTint="80"/>
          <w:sz w:val="42"/>
          <w:szCs w:val="42"/>
        </w:rPr>
        <w:lastRenderedPageBreak/>
        <w:t>Medical Priority</w:t>
      </w:r>
    </w:p>
    <w:p w14:paraId="6F6FF1BA" w14:textId="77777777" w:rsidR="008D0C18" w:rsidRPr="00787809" w:rsidRDefault="008D0C18" w:rsidP="008D0C18">
      <w:pPr>
        <w:numPr>
          <w:ilvl w:val="0"/>
          <w:numId w:val="1"/>
        </w:numPr>
        <w:spacing w:after="0" w:line="336" w:lineRule="auto"/>
        <w:rPr>
          <w:sz w:val="28"/>
          <w:szCs w:val="28"/>
        </w:rPr>
      </w:pPr>
      <w:r w:rsidRPr="00787809">
        <w:rPr>
          <w:rFonts w:ascii="Helvetica World" w:eastAsia="Helvetica World" w:hAnsi="Helvetica World" w:cs="Helvetica World"/>
          <w:color w:val="000000"/>
          <w:sz w:val="26"/>
          <w:szCs w:val="26"/>
        </w:rPr>
        <w:t xml:space="preserve">Medical priority is when priority on the housing register is given to residents who have medical condition(s) which are worsened by their housing situation. The applicant, or a member of their household, must have:  </w:t>
      </w:r>
    </w:p>
    <w:p w14:paraId="34996249" w14:textId="77777777" w:rsidR="008D0C18" w:rsidRPr="00787809" w:rsidRDefault="008D0C18" w:rsidP="008D0C18">
      <w:pPr>
        <w:numPr>
          <w:ilvl w:val="1"/>
          <w:numId w:val="1"/>
        </w:numPr>
        <w:spacing w:after="0" w:line="336" w:lineRule="auto"/>
        <w:rPr>
          <w:sz w:val="28"/>
          <w:szCs w:val="28"/>
        </w:rPr>
      </w:pPr>
      <w:r w:rsidRPr="00787809">
        <w:rPr>
          <w:rFonts w:ascii="Helvetica World" w:eastAsia="Helvetica World" w:hAnsi="Helvetica World" w:cs="Helvetica World"/>
          <w:color w:val="000000"/>
          <w:sz w:val="26"/>
          <w:szCs w:val="26"/>
        </w:rPr>
        <w:t xml:space="preserve">A severe and long-term limiting illness, or a permanent and substantial disability AND </w:t>
      </w:r>
    </w:p>
    <w:p w14:paraId="7B5C4BC7" w14:textId="77777777" w:rsidR="008D0C18" w:rsidRPr="00787809" w:rsidRDefault="008D0C18" w:rsidP="008D0C18">
      <w:pPr>
        <w:numPr>
          <w:ilvl w:val="1"/>
          <w:numId w:val="1"/>
        </w:numPr>
        <w:spacing w:after="0" w:line="336" w:lineRule="auto"/>
        <w:rPr>
          <w:sz w:val="28"/>
          <w:szCs w:val="28"/>
        </w:rPr>
      </w:pPr>
      <w:r w:rsidRPr="00787809">
        <w:rPr>
          <w:rFonts w:ascii="Helvetica World" w:eastAsia="Helvetica World" w:hAnsi="Helvetica World" w:cs="Helvetica World"/>
          <w:color w:val="000000"/>
          <w:sz w:val="26"/>
          <w:szCs w:val="26"/>
        </w:rPr>
        <w:t xml:space="preserve">their health or quality of life is severely affected by the home they live in. </w:t>
      </w:r>
    </w:p>
    <w:p w14:paraId="1ED41984" w14:textId="77777777" w:rsidR="008D0C18" w:rsidRPr="00787809" w:rsidRDefault="008D0C18" w:rsidP="008D0C18">
      <w:pPr>
        <w:numPr>
          <w:ilvl w:val="0"/>
          <w:numId w:val="1"/>
        </w:numPr>
        <w:spacing w:after="0" w:line="336" w:lineRule="auto"/>
        <w:rPr>
          <w:sz w:val="28"/>
          <w:szCs w:val="28"/>
        </w:rPr>
      </w:pPr>
      <w:r w:rsidRPr="00787809">
        <w:rPr>
          <w:rFonts w:ascii="Helvetica World" w:eastAsia="Helvetica World" w:hAnsi="Helvetica World" w:cs="Helvetica World"/>
          <w:color w:val="000000"/>
          <w:sz w:val="26"/>
          <w:szCs w:val="26"/>
        </w:rPr>
        <w:t xml:space="preserve">If a resident would like to apply for medical priority they need to contact the council. The resident will be sent a questionnaire to fill in - they should fill this form in themselves. </w:t>
      </w:r>
    </w:p>
    <w:p w14:paraId="49E3991F" w14:textId="421008E3" w:rsidR="008D0C18" w:rsidRPr="00787809" w:rsidRDefault="008D0C18" w:rsidP="008D0C18">
      <w:pPr>
        <w:numPr>
          <w:ilvl w:val="0"/>
          <w:numId w:val="1"/>
        </w:numPr>
        <w:spacing w:after="0" w:line="336" w:lineRule="auto"/>
        <w:rPr>
          <w:sz w:val="28"/>
          <w:szCs w:val="28"/>
        </w:rPr>
      </w:pPr>
      <w:r w:rsidRPr="00787809">
        <w:rPr>
          <w:rFonts w:ascii="Helvetica World Bold" w:eastAsia="Helvetica World Bold" w:hAnsi="Helvetica World Bold" w:cs="Helvetica World Bold"/>
          <w:b/>
          <w:bCs/>
          <w:color w:val="000000"/>
          <w:sz w:val="26"/>
          <w:szCs w:val="26"/>
        </w:rPr>
        <w:t xml:space="preserve">If the council requires a report from the </w:t>
      </w:r>
      <w:proofErr w:type="spellStart"/>
      <w:r w:rsidRPr="00787809">
        <w:rPr>
          <w:rFonts w:ascii="Helvetica World Bold" w:eastAsia="Helvetica World Bold" w:hAnsi="Helvetica World Bold" w:cs="Helvetica World Bold"/>
          <w:b/>
          <w:bCs/>
          <w:color w:val="000000"/>
          <w:sz w:val="26"/>
          <w:szCs w:val="26"/>
        </w:rPr>
        <w:t>resident’s</w:t>
      </w:r>
      <w:proofErr w:type="spellEnd"/>
      <w:r w:rsidRPr="00787809">
        <w:rPr>
          <w:rFonts w:ascii="Helvetica World Bold" w:eastAsia="Helvetica World Bold" w:hAnsi="Helvetica World Bold" w:cs="Helvetica World Bold"/>
          <w:b/>
          <w:bCs/>
          <w:color w:val="000000"/>
          <w:sz w:val="26"/>
          <w:szCs w:val="26"/>
        </w:rPr>
        <w:t xml:space="preserve"> healthcare professional, the council will request this and pay for it directly. There is no benefit in a letter being obtained from a healthcare professional in advance of one being requested by the Council. </w:t>
      </w:r>
    </w:p>
    <w:p w14:paraId="77C58443" w14:textId="77777777" w:rsidR="008D0C18" w:rsidRDefault="008D0C18">
      <w:pPr>
        <w:spacing w:line="240" w:lineRule="auto"/>
        <w:rPr>
          <w:b/>
          <w:bCs/>
          <w:color w:val="4C94D8" w:themeColor="text2" w:themeTint="80"/>
          <w:sz w:val="42"/>
          <w:szCs w:val="42"/>
        </w:rPr>
      </w:pPr>
    </w:p>
    <w:p w14:paraId="02EEBE87" w14:textId="3A17DFCC" w:rsidR="008D0C18" w:rsidRPr="008D0C18" w:rsidRDefault="008D0C18" w:rsidP="008D0C18">
      <w:pPr>
        <w:rPr>
          <w:b/>
          <w:bCs/>
          <w:color w:val="4C94D8" w:themeColor="text2" w:themeTint="80"/>
          <w:sz w:val="42"/>
          <w:szCs w:val="42"/>
        </w:rPr>
      </w:pPr>
      <w:r w:rsidRPr="008D0C18">
        <w:rPr>
          <w:b/>
          <w:bCs/>
          <w:color w:val="4C94D8" w:themeColor="text2" w:themeTint="80"/>
          <w:sz w:val="42"/>
          <w:szCs w:val="42"/>
        </w:rPr>
        <w:t>How to support a resident with a housing health and safety issue: pathways</w:t>
      </w:r>
    </w:p>
    <w:p w14:paraId="5D4AC84D" w14:textId="168264F7" w:rsidR="008D0C18" w:rsidRPr="00787809" w:rsidRDefault="008D0C18" w:rsidP="008D0C18">
      <w:pPr>
        <w:rPr>
          <w:sz w:val="28"/>
          <w:szCs w:val="28"/>
        </w:rPr>
      </w:pPr>
      <w:r w:rsidRPr="00787809">
        <w:rPr>
          <w:sz w:val="28"/>
          <w:szCs w:val="28"/>
        </w:rPr>
        <w:t>Over the following two pages, we have outlined pathways for use by professionals working with residents who have problems with their homes that could affect their health and safety e.g. damp and mould or disrepair. These pathways are intended to support professionals to correctly signpost residents, enabling them to advocate for themselves where possible.</w:t>
      </w:r>
    </w:p>
    <w:p w14:paraId="64A8623E" w14:textId="77777777" w:rsidR="008D0C18" w:rsidRPr="00B176CC" w:rsidRDefault="008D0C18" w:rsidP="008D0C18">
      <w:pPr>
        <w:sectPr w:rsidR="008D0C18" w:rsidRPr="00B176CC" w:rsidSect="008D0C18">
          <w:pgSz w:w="11910" w:h="16845"/>
          <w:pgMar w:top="1440" w:right="1440" w:bottom="1440" w:left="1440" w:header="720" w:footer="720" w:gutter="0"/>
          <w:cols w:space="720"/>
        </w:sectPr>
      </w:pPr>
    </w:p>
    <w:tbl>
      <w:tblPr>
        <w:tblW w:w="9030" w:type="dxa"/>
        <w:tblInd w:w="225" w:type="dxa"/>
        <w:tblBorders>
          <w:top w:val="none" w:sz="0" w:space="0" w:color="CCCCCC"/>
          <w:left w:val="none" w:sz="0" w:space="0" w:color="CCCCCC"/>
          <w:bottom w:val="none" w:sz="0" w:space="0" w:color="CCCCCC"/>
          <w:right w:val="none" w:sz="0" w:space="0" w:color="CCCCCC"/>
          <w:insideH w:val="none" w:sz="0" w:space="0" w:color="CCCCCC"/>
          <w:insideV w:val="none" w:sz="0" w:space="0" w:color="CCCCCC"/>
        </w:tblBorders>
        <w:tblCellMar>
          <w:left w:w="10" w:type="dxa"/>
          <w:right w:w="10" w:type="dxa"/>
        </w:tblCellMar>
        <w:tblLook w:val="0000" w:firstRow="0" w:lastRow="0" w:firstColumn="0" w:lastColumn="0" w:noHBand="0" w:noVBand="0"/>
      </w:tblPr>
      <w:tblGrid>
        <w:gridCol w:w="13740"/>
      </w:tblGrid>
      <w:tr w:rsidR="008D0C18" w14:paraId="34CFE7A5" w14:textId="77777777" w:rsidTr="00543EFE">
        <w:tc>
          <w:tcPr>
            <w:tcW w:w="9030" w:type="dxa"/>
            <w:tcMar>
              <w:top w:w="225" w:type="dxa"/>
              <w:left w:w="225" w:type="dxa"/>
              <w:bottom w:w="225" w:type="dxa"/>
              <w:right w:w="225" w:type="dxa"/>
            </w:tcMar>
          </w:tcPr>
          <w:p w14:paraId="2ACDD0CC" w14:textId="77777777" w:rsidR="008D0C18" w:rsidRDefault="008D0C18" w:rsidP="00543EFE">
            <w:pPr>
              <w:spacing w:before="120" w:after="120" w:line="336" w:lineRule="auto"/>
            </w:pPr>
            <w:r>
              <w:rPr>
                <w:noProof/>
              </w:rPr>
              <w:lastRenderedPageBreak/>
              <w:drawing>
                <wp:anchor distT="0" distB="0" distL="114300" distR="114300" simplePos="0" relativeHeight="251654144" behindDoc="1" locked="0" layoutInCell="1" allowOverlap="1" wp14:anchorId="56E6AD4C" wp14:editId="6A931865">
                  <wp:simplePos x="0" y="0"/>
                  <wp:positionH relativeFrom="page">
                    <wp:posOffset>0</wp:posOffset>
                  </wp:positionH>
                  <wp:positionV relativeFrom="paragraph">
                    <wp:posOffset>11430</wp:posOffset>
                  </wp:positionV>
                  <wp:extent cx="8735695" cy="4939665"/>
                  <wp:effectExtent l="0" t="0" r="8255" b="0"/>
                  <wp:wrapTopAndBottom/>
                  <wp:docPr id="1" name="Drawing 1" descr="32a4ef98be9d4535be229c94063a75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a4ef98be9d4535be229c94063a75ea.png"/>
                          <pic:cNvPicPr>
                            <a:picLocks noChangeAspect="1"/>
                          </pic:cNvPicPr>
                        </pic:nvPicPr>
                        <pic:blipFill>
                          <a:blip r:embed="rId6"/>
                          <a:stretch>
                            <a:fillRect/>
                          </a:stretch>
                        </pic:blipFill>
                        <pic:spPr>
                          <a:xfrm>
                            <a:off x="0" y="0"/>
                            <a:ext cx="8735695" cy="4939665"/>
                          </a:xfrm>
                          <a:prstGeom prst="rect">
                            <a:avLst/>
                          </a:prstGeom>
                        </pic:spPr>
                      </pic:pic>
                    </a:graphicData>
                  </a:graphic>
                  <wp14:sizeRelH relativeFrom="margin">
                    <wp14:pctWidth>0</wp14:pctWidth>
                  </wp14:sizeRelH>
                  <wp14:sizeRelV relativeFrom="margin">
                    <wp14:pctHeight>0</wp14:pctHeight>
                  </wp14:sizeRelV>
                </wp:anchor>
              </w:drawing>
            </w:r>
            <w:r>
              <w:rPr>
                <w:rFonts w:ascii="Helvetica World" w:eastAsia="Helvetica World" w:hAnsi="Helvetica World" w:cs="Helvetica World"/>
                <w:color w:val="000000"/>
                <w:sz w:val="20"/>
                <w:szCs w:val="20"/>
              </w:rPr>
              <w:t xml:space="preserve"> </w:t>
            </w:r>
          </w:p>
        </w:tc>
      </w:tr>
    </w:tbl>
    <w:p w14:paraId="26F66E00" w14:textId="77777777" w:rsidR="008D0C18" w:rsidRPr="00A21AF2" w:rsidRDefault="008D0C18" w:rsidP="008D0C18">
      <w:pPr>
        <w:spacing w:before="120" w:after="120"/>
        <w:sectPr w:rsidR="008D0C18" w:rsidRPr="00A21AF2" w:rsidSect="008D0C18">
          <w:pgSz w:w="16845" w:h="11910" w:orient="landscape"/>
          <w:pgMar w:top="1440" w:right="1440" w:bottom="1440" w:left="1440" w:header="720" w:footer="720" w:gutter="0"/>
          <w:cols w:space="720"/>
        </w:sectPr>
      </w:pPr>
      <w:r>
        <w:rPr>
          <w:noProof/>
        </w:rPr>
        <w:lastRenderedPageBreak/>
        <w:drawing>
          <wp:anchor distT="0" distB="0" distL="114300" distR="114300" simplePos="0" relativeHeight="251655168" behindDoc="0" locked="0" layoutInCell="1" allowOverlap="1" wp14:anchorId="281BC817" wp14:editId="4CD7D553">
            <wp:simplePos x="0" y="0"/>
            <wp:positionH relativeFrom="page">
              <wp:posOffset>419100</wp:posOffset>
            </wp:positionH>
            <wp:positionV relativeFrom="paragraph">
              <wp:posOffset>247650</wp:posOffset>
            </wp:positionV>
            <wp:extent cx="9556115" cy="5029200"/>
            <wp:effectExtent l="0" t="0" r="0" b="0"/>
            <wp:wrapTopAndBottom/>
            <wp:docPr id="2" name="Drawing 2" descr="b56904c5e9fdc2613d6b1a66993e5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56904c5e9fdc2613d6b1a66993e59f8.png"/>
                    <pic:cNvPicPr>
                      <a:picLocks noChangeAspect="1"/>
                    </pic:cNvPicPr>
                  </pic:nvPicPr>
                  <pic:blipFill>
                    <a:blip r:embed="rId7"/>
                    <a:stretch>
                      <a:fillRect/>
                    </a:stretch>
                  </pic:blipFill>
                  <pic:spPr>
                    <a:xfrm>
                      <a:off x="0" y="0"/>
                      <a:ext cx="9556115" cy="5029200"/>
                    </a:xfrm>
                    <a:prstGeom prst="rect">
                      <a:avLst/>
                    </a:prstGeom>
                  </pic:spPr>
                </pic:pic>
              </a:graphicData>
            </a:graphic>
            <wp14:sizeRelH relativeFrom="margin">
              <wp14:pctWidth>0</wp14:pctWidth>
            </wp14:sizeRelH>
            <wp14:sizeRelV relativeFrom="margin">
              <wp14:pctHeight>0</wp14:pctHeight>
            </wp14:sizeRelV>
          </wp:anchor>
        </w:drawing>
      </w:r>
    </w:p>
    <w:p w14:paraId="607E0320" w14:textId="79BF2FDC" w:rsidR="008D0C18" w:rsidRDefault="008D0C18">
      <w:pPr>
        <w:spacing w:line="240" w:lineRule="auto"/>
        <w:rPr>
          <w:b/>
          <w:bCs/>
          <w:color w:val="4C94D8" w:themeColor="text2" w:themeTint="80"/>
          <w:sz w:val="42"/>
          <w:szCs w:val="42"/>
        </w:rPr>
      </w:pPr>
      <w:r>
        <w:rPr>
          <w:b/>
          <w:bCs/>
          <w:color w:val="4C94D8" w:themeColor="text2" w:themeTint="80"/>
          <w:sz w:val="42"/>
          <w:szCs w:val="42"/>
        </w:rPr>
        <w:lastRenderedPageBreak/>
        <w:t>Environmental Health</w:t>
      </w:r>
    </w:p>
    <w:p w14:paraId="6C5235EA" w14:textId="781F8882" w:rsidR="008D0C18" w:rsidRPr="008D0C18" w:rsidRDefault="008D0C18">
      <w:pPr>
        <w:spacing w:line="240" w:lineRule="auto"/>
        <w:rPr>
          <w:b/>
          <w:bCs/>
          <w:color w:val="4C94D8" w:themeColor="text2" w:themeTint="80"/>
          <w:sz w:val="28"/>
          <w:szCs w:val="28"/>
        </w:rPr>
      </w:pPr>
    </w:p>
    <w:p w14:paraId="2F11BA12" w14:textId="6CC4ED04" w:rsidR="008D0C18" w:rsidRPr="008D0C18" w:rsidRDefault="008D0C18" w:rsidP="008D0C18">
      <w:pPr>
        <w:spacing w:before="120" w:after="120" w:line="240" w:lineRule="auto"/>
        <w:rPr>
          <w:rFonts w:eastAsia="Helvetica World" w:cstheme="minorHAnsi"/>
          <w:color w:val="000000"/>
          <w:sz w:val="28"/>
          <w:szCs w:val="28"/>
        </w:rPr>
      </w:pPr>
      <w:r w:rsidRPr="00B34D92">
        <w:rPr>
          <w:rFonts w:cstheme="minorHAnsi"/>
          <w:noProof/>
          <w:sz w:val="20"/>
          <w:szCs w:val="20"/>
        </w:rPr>
        <w:drawing>
          <wp:anchor distT="0" distB="0" distL="114300" distR="114300" simplePos="0" relativeHeight="251665408" behindDoc="0" locked="0" layoutInCell="1" allowOverlap="1" wp14:anchorId="19BC6041" wp14:editId="0E6FEBE0">
            <wp:simplePos x="0" y="0"/>
            <wp:positionH relativeFrom="column">
              <wp:posOffset>2779395</wp:posOffset>
            </wp:positionH>
            <wp:positionV relativeFrom="paragraph">
              <wp:posOffset>186690</wp:posOffset>
            </wp:positionV>
            <wp:extent cx="3258820" cy="3947160"/>
            <wp:effectExtent l="0" t="0" r="0" b="0"/>
            <wp:wrapSquare wrapText="bothSides"/>
            <wp:docPr id="1014831686" name="Drawing 0" descr="80bd6eaf748910625fbe7069c7104197.png"/>
            <wp:cNvGraphicFramePr/>
            <a:graphic xmlns:a="http://schemas.openxmlformats.org/drawingml/2006/main">
              <a:graphicData uri="http://schemas.openxmlformats.org/drawingml/2006/picture">
                <pic:pic xmlns:pic="http://schemas.openxmlformats.org/drawingml/2006/picture">
                  <pic:nvPicPr>
                    <pic:cNvPr id="0" name="Picture 0" descr="80bd6eaf748910625fbe7069c7104197.png"/>
                    <pic:cNvPicPr>
                      <a:picLocks noChangeAspect="1"/>
                    </pic:cNvPicPr>
                  </pic:nvPicPr>
                  <pic:blipFill>
                    <a:blip r:embed="rId8">
                      <a:extLst>
                        <a:ext uri="{28A0092B-C50C-407E-A947-70E740481C1C}">
                          <a14:useLocalDpi xmlns:a14="http://schemas.microsoft.com/office/drawing/2010/main" val="0"/>
                        </a:ext>
                      </a:extLst>
                    </a:blip>
                    <a:srcRect l="14270" r="14270" b="7757"/>
                    <a:stretch>
                      <a:fillRect/>
                    </a:stretch>
                  </pic:blipFill>
                  <pic:spPr>
                    <a:xfrm>
                      <a:off x="0" y="0"/>
                      <a:ext cx="3258820" cy="3947160"/>
                    </a:xfrm>
                    <a:prstGeom prst="rect">
                      <a:avLst/>
                    </a:prstGeom>
                  </pic:spPr>
                </pic:pic>
              </a:graphicData>
            </a:graphic>
            <wp14:sizeRelH relativeFrom="margin">
              <wp14:pctWidth>0</wp14:pctWidth>
            </wp14:sizeRelH>
            <wp14:sizeRelV relativeFrom="margin">
              <wp14:pctHeight>0</wp14:pctHeight>
            </wp14:sizeRelV>
          </wp:anchor>
        </w:drawing>
      </w:r>
      <w:commentRangeStart w:id="0"/>
      <w:r w:rsidRPr="008D0C18">
        <w:rPr>
          <w:rFonts w:eastAsia="Helvetica World" w:cstheme="minorHAnsi"/>
          <w:color w:val="000000"/>
          <w:sz w:val="28"/>
          <w:szCs w:val="28"/>
        </w:rPr>
        <w:t>Environmental</w:t>
      </w:r>
      <w:commentRangeEnd w:id="0"/>
      <w:r w:rsidRPr="008D0C18">
        <w:rPr>
          <w:rStyle w:val="CommentReference"/>
          <w:rFonts w:cstheme="minorHAnsi"/>
          <w:sz w:val="28"/>
          <w:szCs w:val="28"/>
        </w:rPr>
        <w:commentReference w:id="0"/>
      </w:r>
      <w:r w:rsidRPr="008D0C18">
        <w:rPr>
          <w:rFonts w:eastAsia="Helvetica World" w:cstheme="minorHAnsi"/>
          <w:color w:val="000000"/>
          <w:sz w:val="28"/>
          <w:szCs w:val="28"/>
        </w:rPr>
        <w:t xml:space="preserve"> Health is part of the council and is responsible for ensuring homes are safe. They investigate complaints and deal with problems, making assessments based on the </w:t>
      </w:r>
      <w:hyperlink r:id="rId13">
        <w:r w:rsidRPr="008D0C18">
          <w:rPr>
            <w:rFonts w:eastAsia="Helvetica World" w:cstheme="minorHAnsi"/>
            <w:color w:val="1A62FF"/>
            <w:sz w:val="28"/>
            <w:szCs w:val="28"/>
            <w:u w:val="single" w:color="1A62FF"/>
          </w:rPr>
          <w:t xml:space="preserve">Housing Health and Safety Rating System </w:t>
        </w:r>
      </w:hyperlink>
      <w:r w:rsidRPr="008D0C18">
        <w:rPr>
          <w:rFonts w:eastAsia="Helvetica World" w:cstheme="minorHAnsi"/>
          <w:color w:val="000000"/>
          <w:sz w:val="28"/>
          <w:szCs w:val="28"/>
        </w:rPr>
        <w:t xml:space="preserve">of 29 Hazards, which includes damp and mould. </w:t>
      </w:r>
    </w:p>
    <w:p w14:paraId="561C04E7" w14:textId="1C67B1C2" w:rsidR="008D0C18" w:rsidRPr="008D0C18" w:rsidRDefault="008D0C18" w:rsidP="008D0C18">
      <w:pPr>
        <w:spacing w:before="120" w:after="120" w:line="240" w:lineRule="auto"/>
        <w:rPr>
          <w:rFonts w:cstheme="minorHAnsi"/>
          <w:sz w:val="28"/>
          <w:szCs w:val="28"/>
        </w:rPr>
      </w:pPr>
      <w:r w:rsidRPr="008D0C18">
        <w:rPr>
          <w:rFonts w:cstheme="minorHAnsi"/>
          <w:sz w:val="28"/>
          <w:szCs w:val="28"/>
        </w:rPr>
        <w:t>If a landlord doesn’t deal with a hazard in the home, residents can contact the Environmental Health team for support (see the pathway above).</w:t>
      </w:r>
    </w:p>
    <w:p w14:paraId="0BF4ECE2" w14:textId="77777777" w:rsidR="008D0C18" w:rsidRPr="008D0C18" w:rsidRDefault="008D0C18" w:rsidP="008D0C18">
      <w:pPr>
        <w:spacing w:before="120" w:after="120" w:line="240" w:lineRule="auto"/>
        <w:rPr>
          <w:rFonts w:cstheme="minorHAnsi"/>
          <w:sz w:val="28"/>
          <w:szCs w:val="28"/>
        </w:rPr>
      </w:pPr>
      <w:r w:rsidRPr="008D0C18">
        <w:rPr>
          <w:rFonts w:eastAsia="Helvetica World" w:cstheme="minorHAnsi"/>
          <w:color w:val="231F20"/>
          <w:sz w:val="28"/>
          <w:szCs w:val="28"/>
        </w:rPr>
        <w:t>If a hazard presents a serious and immediate risk to a person's health and safety, this is known as a Category 1 hazard. If a hazard is less serious or less urgent, this is known as a Category 2 hazard.</w:t>
      </w:r>
      <w:r w:rsidRPr="008D0C18">
        <w:rPr>
          <w:rFonts w:eastAsia="Helvetica World" w:cstheme="minorHAnsi"/>
          <w:color w:val="000000"/>
          <w:sz w:val="28"/>
          <w:szCs w:val="28"/>
        </w:rPr>
        <w:t xml:space="preserve"> </w:t>
      </w:r>
    </w:p>
    <w:p w14:paraId="4E306135" w14:textId="77777777" w:rsidR="008D0C18" w:rsidRPr="008D0C18" w:rsidRDefault="008D0C18" w:rsidP="008D0C18">
      <w:pPr>
        <w:spacing w:before="120" w:after="120" w:line="240" w:lineRule="auto"/>
        <w:rPr>
          <w:rFonts w:cstheme="minorHAnsi"/>
          <w:sz w:val="28"/>
          <w:szCs w:val="28"/>
        </w:rPr>
      </w:pPr>
      <w:r w:rsidRPr="008D0C18">
        <w:rPr>
          <w:rFonts w:eastAsia="Helvetica World" w:cstheme="minorHAnsi"/>
          <w:color w:val="000000"/>
          <w:sz w:val="28"/>
          <w:szCs w:val="28"/>
        </w:rPr>
        <w:t xml:space="preserve">The council can give landlords: </w:t>
      </w:r>
    </w:p>
    <w:p w14:paraId="310E168E" w14:textId="3016DD9C" w:rsidR="008D0C18" w:rsidRPr="008D0C18" w:rsidRDefault="008D0C18" w:rsidP="008D0C18">
      <w:pPr>
        <w:spacing w:before="120" w:after="120" w:line="240" w:lineRule="auto"/>
        <w:rPr>
          <w:rFonts w:cstheme="minorHAnsi"/>
          <w:sz w:val="28"/>
          <w:szCs w:val="28"/>
        </w:rPr>
      </w:pPr>
      <w:r w:rsidRPr="008D0C18">
        <w:rPr>
          <w:rFonts w:eastAsia="Helvetica World" w:cstheme="minorHAnsi"/>
          <w:color w:val="000000"/>
          <w:sz w:val="28"/>
          <w:szCs w:val="28"/>
        </w:rPr>
        <w:t xml:space="preserve">• unofficial recommendations on the repairs they should do </w:t>
      </w:r>
    </w:p>
    <w:p w14:paraId="6BFCE8CA" w14:textId="77777777" w:rsidR="008D0C18" w:rsidRPr="008D0C18" w:rsidRDefault="008D0C18" w:rsidP="008D0C18">
      <w:pPr>
        <w:spacing w:before="120" w:after="120" w:line="240" w:lineRule="auto"/>
        <w:jc w:val="both"/>
        <w:rPr>
          <w:rFonts w:eastAsia="Helvetica World" w:cstheme="minorHAnsi"/>
          <w:color w:val="000000"/>
          <w:sz w:val="28"/>
          <w:szCs w:val="28"/>
        </w:rPr>
      </w:pPr>
      <w:r w:rsidRPr="008D0C18">
        <w:rPr>
          <w:rFonts w:eastAsia="Helvetica World" w:cstheme="minorHAnsi"/>
          <w:color w:val="000000"/>
          <w:sz w:val="28"/>
          <w:szCs w:val="28"/>
        </w:rPr>
        <w:t>• legal notices that force landlords to do repairs</w:t>
      </w:r>
    </w:p>
    <w:p w14:paraId="4933ABB3" w14:textId="16DDAA8A" w:rsidR="008D0C18" w:rsidRPr="008D0C18" w:rsidRDefault="008D0C18" w:rsidP="008D0C18">
      <w:pPr>
        <w:spacing w:before="120" w:after="120" w:line="240" w:lineRule="auto"/>
        <w:jc w:val="both"/>
        <w:rPr>
          <w:rFonts w:cstheme="minorHAnsi"/>
          <w:sz w:val="28"/>
          <w:szCs w:val="28"/>
        </w:rPr>
      </w:pPr>
      <w:r w:rsidRPr="008D0C18">
        <w:rPr>
          <w:rFonts w:eastAsia="Helvetica World" w:cstheme="minorHAnsi"/>
          <w:color w:val="000000"/>
          <w:sz w:val="28"/>
          <w:szCs w:val="28"/>
        </w:rPr>
        <w:t xml:space="preserve">Although Environmental Health’s focus is on the Private Rented Sector, residents living in social rented properties can also seek help if their landlord isn’t providing a safe home. </w:t>
      </w:r>
    </w:p>
    <w:p w14:paraId="624B6693" w14:textId="5E4EDC6D" w:rsidR="008D0C18" w:rsidRDefault="008D0C18" w:rsidP="008D0C18">
      <w:pPr>
        <w:spacing w:line="240" w:lineRule="auto"/>
        <w:rPr>
          <w:b/>
          <w:bCs/>
          <w:color w:val="4C94D8" w:themeColor="text2" w:themeTint="80"/>
          <w:sz w:val="42"/>
          <w:szCs w:val="42"/>
        </w:rPr>
      </w:pPr>
    </w:p>
    <w:p w14:paraId="4DEBB3AC" w14:textId="77777777" w:rsidR="008D0C18" w:rsidRDefault="008D0C18" w:rsidP="008D0C18">
      <w:pPr>
        <w:spacing w:line="240" w:lineRule="auto"/>
        <w:rPr>
          <w:b/>
          <w:bCs/>
          <w:color w:val="4C94D8" w:themeColor="text2" w:themeTint="80"/>
          <w:sz w:val="42"/>
          <w:szCs w:val="42"/>
        </w:rPr>
      </w:pPr>
    </w:p>
    <w:p w14:paraId="72D5A449" w14:textId="77777777" w:rsidR="008D0C18" w:rsidRDefault="008D0C18" w:rsidP="008D0C18">
      <w:pPr>
        <w:spacing w:line="240" w:lineRule="auto"/>
        <w:rPr>
          <w:b/>
          <w:bCs/>
          <w:color w:val="4C94D8" w:themeColor="text2" w:themeTint="80"/>
          <w:sz w:val="42"/>
          <w:szCs w:val="42"/>
        </w:rPr>
      </w:pPr>
    </w:p>
    <w:p w14:paraId="3FB705AE" w14:textId="77777777" w:rsidR="008D0C18" w:rsidRPr="008D0C18" w:rsidRDefault="008D0C18" w:rsidP="008D0C18">
      <w:pPr>
        <w:spacing w:line="240" w:lineRule="auto"/>
        <w:rPr>
          <w:b/>
          <w:bCs/>
          <w:color w:val="4C94D8" w:themeColor="text2" w:themeTint="80"/>
          <w:sz w:val="42"/>
          <w:szCs w:val="42"/>
        </w:rPr>
      </w:pPr>
    </w:p>
    <w:p w14:paraId="3565FAC9" w14:textId="41A30308" w:rsidR="008D0C18" w:rsidRPr="008D0C18" w:rsidRDefault="008D0C18" w:rsidP="008D0C18">
      <w:pPr>
        <w:spacing w:line="240" w:lineRule="auto"/>
        <w:rPr>
          <w:b/>
          <w:bCs/>
          <w:color w:val="4C94D8" w:themeColor="text2" w:themeTint="80"/>
          <w:sz w:val="42"/>
          <w:szCs w:val="42"/>
        </w:rPr>
      </w:pPr>
      <w:r w:rsidRPr="008D0C18">
        <w:rPr>
          <w:b/>
          <w:bCs/>
          <w:color w:val="4C94D8" w:themeColor="text2" w:themeTint="80"/>
          <w:sz w:val="42"/>
          <w:szCs w:val="42"/>
        </w:rPr>
        <w:lastRenderedPageBreak/>
        <w:t>How to support a resident who is living in an unsuitable home</w:t>
      </w:r>
    </w:p>
    <w:p w14:paraId="457F53C3" w14:textId="77777777" w:rsidR="008D0C18" w:rsidRPr="008D0C18" w:rsidRDefault="008D0C18" w:rsidP="008D0C18">
      <w:pPr>
        <w:numPr>
          <w:ilvl w:val="0"/>
          <w:numId w:val="2"/>
        </w:numPr>
        <w:spacing w:after="0" w:line="336" w:lineRule="auto"/>
        <w:rPr>
          <w:sz w:val="28"/>
          <w:szCs w:val="28"/>
        </w:rPr>
      </w:pPr>
      <w:r w:rsidRPr="008D0C18">
        <w:rPr>
          <w:rFonts w:eastAsia="Helvetica World" w:cs="Helvetica World"/>
          <w:color w:val="000000"/>
          <w:sz w:val="28"/>
          <w:szCs w:val="28"/>
        </w:rPr>
        <w:t xml:space="preserve">In Tower Hamlets, like other areas of London, there are not enough homes available for social rent. Tower Hamlets is the most densely populated local authority in England.  </w:t>
      </w:r>
    </w:p>
    <w:p w14:paraId="40BD3D20" w14:textId="77777777" w:rsidR="008D0C18" w:rsidRPr="008D0C18" w:rsidRDefault="008D0C18" w:rsidP="008D0C18">
      <w:pPr>
        <w:numPr>
          <w:ilvl w:val="0"/>
          <w:numId w:val="2"/>
        </w:numPr>
        <w:spacing w:after="0" w:line="336" w:lineRule="auto"/>
        <w:rPr>
          <w:sz w:val="28"/>
          <w:szCs w:val="28"/>
        </w:rPr>
      </w:pPr>
      <w:r w:rsidRPr="008D0C18">
        <w:rPr>
          <w:rFonts w:eastAsia="Helvetica World" w:cs="Helvetica World"/>
          <w:color w:val="000000"/>
          <w:sz w:val="28"/>
          <w:szCs w:val="28"/>
        </w:rPr>
        <w:t xml:space="preserve">It can take years for an appropriate home to become available, while waiting, it is important that residents let the council know if there are any changes in circumstances that could affect their priority banding, such as: </w:t>
      </w:r>
    </w:p>
    <w:p w14:paraId="36DED3EF" w14:textId="77777777" w:rsidR="008D0C18" w:rsidRPr="008D0C18" w:rsidRDefault="008D0C18" w:rsidP="008D0C18">
      <w:pPr>
        <w:numPr>
          <w:ilvl w:val="1"/>
          <w:numId w:val="2"/>
        </w:numPr>
        <w:spacing w:after="0" w:line="336" w:lineRule="auto"/>
        <w:rPr>
          <w:sz w:val="28"/>
          <w:szCs w:val="28"/>
        </w:rPr>
      </w:pPr>
      <w:r w:rsidRPr="008D0C18">
        <w:rPr>
          <w:rFonts w:eastAsia="Helvetica World" w:cs="Helvetica World"/>
          <w:color w:val="000000"/>
          <w:sz w:val="28"/>
          <w:szCs w:val="28"/>
        </w:rPr>
        <w:t xml:space="preserve">A change in household size or composition </w:t>
      </w:r>
    </w:p>
    <w:p w14:paraId="54E33B16" w14:textId="1B620D6D" w:rsidR="00F3300D" w:rsidRDefault="008D0C18" w:rsidP="002E3D34">
      <w:pPr>
        <w:numPr>
          <w:ilvl w:val="1"/>
          <w:numId w:val="2"/>
        </w:numPr>
        <w:spacing w:after="0" w:line="336" w:lineRule="auto"/>
        <w:rPr>
          <w:sz w:val="28"/>
          <w:szCs w:val="28"/>
        </w:rPr>
      </w:pPr>
      <w:r w:rsidRPr="008D0C18">
        <w:rPr>
          <w:rFonts w:eastAsia="Helvetica World" w:cs="Helvetica World"/>
          <w:color w:val="000000"/>
          <w:sz w:val="28"/>
          <w:szCs w:val="28"/>
        </w:rPr>
        <w:t xml:space="preserve">A new medical issue that may result in medical priority being granted (see medical priority above) </w:t>
      </w:r>
    </w:p>
    <w:p w14:paraId="5B8F98AD" w14:textId="77777777" w:rsidR="002E3D34" w:rsidRPr="002E3D34" w:rsidRDefault="002E3D34" w:rsidP="002E3D34">
      <w:pPr>
        <w:spacing w:after="0" w:line="336" w:lineRule="auto"/>
        <w:ind w:left="800"/>
        <w:rPr>
          <w:sz w:val="28"/>
          <w:szCs w:val="28"/>
        </w:rPr>
      </w:pPr>
    </w:p>
    <w:p w14:paraId="28D95989" w14:textId="7985B847" w:rsidR="008D0C18" w:rsidRDefault="008D0C18" w:rsidP="008D0C18">
      <w:pPr>
        <w:spacing w:line="240" w:lineRule="auto"/>
        <w:rPr>
          <w:b/>
          <w:bCs/>
          <w:color w:val="4C94D8" w:themeColor="text2" w:themeTint="80"/>
          <w:sz w:val="42"/>
          <w:szCs w:val="42"/>
        </w:rPr>
      </w:pPr>
      <w:r>
        <w:rPr>
          <w:b/>
          <w:bCs/>
          <w:color w:val="4C94D8" w:themeColor="text2" w:themeTint="80"/>
          <w:sz w:val="42"/>
          <w:szCs w:val="42"/>
        </w:rPr>
        <w:t>Signposting</w:t>
      </w:r>
    </w:p>
    <w:p w14:paraId="2A4DB8AB" w14:textId="253200B3" w:rsidR="008D0C18" w:rsidRPr="002E3D34" w:rsidRDefault="008D0C18" w:rsidP="008D0C18">
      <w:pPr>
        <w:spacing w:line="240" w:lineRule="auto"/>
        <w:rPr>
          <w:sz w:val="28"/>
          <w:szCs w:val="28"/>
        </w:rPr>
      </w:pPr>
      <w:r w:rsidRPr="002E3D34">
        <w:rPr>
          <w:sz w:val="28"/>
          <w:szCs w:val="28"/>
        </w:rPr>
        <w:t xml:space="preserve">Below are resources for further support with housing </w:t>
      </w:r>
      <w:proofErr w:type="gramStart"/>
      <w:r w:rsidRPr="002E3D34">
        <w:rPr>
          <w:sz w:val="28"/>
          <w:szCs w:val="28"/>
        </w:rPr>
        <w:t>issues</w:t>
      </w:r>
      <w:proofErr w:type="gramEnd"/>
    </w:p>
    <w:tbl>
      <w:tblPr>
        <w:tblStyle w:val="TableGrid"/>
        <w:tblW w:w="0" w:type="auto"/>
        <w:tblLook w:val="04A0" w:firstRow="1" w:lastRow="0" w:firstColumn="1" w:lastColumn="0" w:noHBand="0" w:noVBand="1"/>
      </w:tblPr>
      <w:tblGrid>
        <w:gridCol w:w="4508"/>
        <w:gridCol w:w="4508"/>
      </w:tblGrid>
      <w:tr w:rsidR="00F3300D" w:rsidRPr="002E3D34" w14:paraId="62C1964E" w14:textId="77777777" w:rsidTr="00F3300D">
        <w:tc>
          <w:tcPr>
            <w:tcW w:w="4621" w:type="dxa"/>
          </w:tcPr>
          <w:p w14:paraId="2BE638C1" w14:textId="5F3FDB0C" w:rsidR="00F3300D" w:rsidRPr="002E3D34" w:rsidRDefault="00F3300D" w:rsidP="008D0C18">
            <w:pPr>
              <w:rPr>
                <w:sz w:val="28"/>
                <w:szCs w:val="28"/>
              </w:rPr>
            </w:pPr>
            <w:r w:rsidRPr="002E3D34">
              <w:rPr>
                <w:sz w:val="28"/>
                <w:szCs w:val="28"/>
              </w:rPr>
              <w:t>For professionals</w:t>
            </w:r>
          </w:p>
        </w:tc>
        <w:tc>
          <w:tcPr>
            <w:tcW w:w="4621" w:type="dxa"/>
          </w:tcPr>
          <w:p w14:paraId="3A1C1796" w14:textId="3170FD87" w:rsidR="00F3300D" w:rsidRPr="002E3D34" w:rsidRDefault="00F3300D" w:rsidP="008D0C18">
            <w:pPr>
              <w:rPr>
                <w:sz w:val="28"/>
                <w:szCs w:val="28"/>
              </w:rPr>
            </w:pPr>
            <w:hyperlink r:id="rId14" w:history="1">
              <w:r w:rsidRPr="002E3D34">
                <w:rPr>
                  <w:rStyle w:val="Hyperlink"/>
                  <w:rFonts w:eastAsia="Helvetica World" w:cs="Helvetica World"/>
                  <w:sz w:val="28"/>
                  <w:szCs w:val="28"/>
                </w:rPr>
                <w:t>NICE factsheet for professionals on improving indoor air quality</w:t>
              </w:r>
            </w:hyperlink>
          </w:p>
        </w:tc>
      </w:tr>
      <w:tr w:rsidR="00F3300D" w:rsidRPr="002E3D34" w14:paraId="466E6C89" w14:textId="77777777" w:rsidTr="00F3300D">
        <w:tc>
          <w:tcPr>
            <w:tcW w:w="4621" w:type="dxa"/>
          </w:tcPr>
          <w:p w14:paraId="37B00CBF" w14:textId="0041CCB3" w:rsidR="00F3300D" w:rsidRPr="002E3D34" w:rsidRDefault="00F3300D" w:rsidP="008D0C18">
            <w:pPr>
              <w:rPr>
                <w:sz w:val="28"/>
                <w:szCs w:val="28"/>
              </w:rPr>
            </w:pPr>
            <w:r w:rsidRPr="002E3D34">
              <w:rPr>
                <w:rStyle w:val="Hyperlink"/>
                <w:rFonts w:eastAsia="Helvetica World" w:cs="Helvetica World"/>
                <w:color w:val="auto"/>
                <w:sz w:val="28"/>
                <w:szCs w:val="28"/>
                <w:u w:val="none"/>
              </w:rPr>
              <w:t>For residents</w:t>
            </w:r>
          </w:p>
        </w:tc>
        <w:tc>
          <w:tcPr>
            <w:tcW w:w="4621" w:type="dxa"/>
          </w:tcPr>
          <w:p w14:paraId="6B1AE79B" w14:textId="77777777" w:rsidR="00F3300D" w:rsidRPr="002E3D34" w:rsidRDefault="00F3300D" w:rsidP="00F3300D">
            <w:pPr>
              <w:spacing w:before="120" w:after="120" w:line="336" w:lineRule="auto"/>
              <w:rPr>
                <w:sz w:val="28"/>
                <w:szCs w:val="28"/>
              </w:rPr>
            </w:pPr>
            <w:hyperlink r:id="rId15" w:history="1">
              <w:r w:rsidRPr="002E3D34">
                <w:rPr>
                  <w:rStyle w:val="Hyperlink"/>
                  <w:sz w:val="28"/>
                  <w:szCs w:val="28"/>
                </w:rPr>
                <w:t>Shelter: housing charity</w:t>
              </w:r>
            </w:hyperlink>
          </w:p>
          <w:p w14:paraId="0234236B" w14:textId="77777777" w:rsidR="00F3300D" w:rsidRPr="002E3D34" w:rsidRDefault="00F3300D" w:rsidP="00F3300D">
            <w:pPr>
              <w:spacing w:before="120" w:after="120" w:line="336" w:lineRule="auto"/>
              <w:rPr>
                <w:sz w:val="28"/>
                <w:szCs w:val="28"/>
              </w:rPr>
            </w:pPr>
            <w:hyperlink r:id="rId16" w:history="1">
              <w:r w:rsidRPr="002E3D34">
                <w:rPr>
                  <w:rStyle w:val="Hyperlink"/>
                  <w:sz w:val="28"/>
                  <w:szCs w:val="28"/>
                </w:rPr>
                <w:t>Reporting a rogue landlord to the Greater London Authority</w:t>
              </w:r>
            </w:hyperlink>
          </w:p>
          <w:p w14:paraId="253F67F6" w14:textId="77777777" w:rsidR="00F3300D" w:rsidRPr="002E3D34" w:rsidRDefault="00F3300D" w:rsidP="00F3300D">
            <w:pPr>
              <w:rPr>
                <w:rStyle w:val="Hyperlink"/>
                <w:rFonts w:eastAsia="Helvetica World" w:cs="Helvetica World"/>
                <w:color w:val="auto"/>
                <w:sz w:val="28"/>
                <w:szCs w:val="28"/>
                <w:u w:val="none"/>
              </w:rPr>
            </w:pPr>
            <w:hyperlink r:id="rId17" w:history="1">
              <w:r w:rsidRPr="002E3D34">
                <w:rPr>
                  <w:rStyle w:val="Hyperlink"/>
                  <w:sz w:val="28"/>
                  <w:szCs w:val="28"/>
                </w:rPr>
                <w:t>Tower Hamlets support with the cost of living, including food and fuel poverty and benefits advice</w:t>
              </w:r>
            </w:hyperlink>
          </w:p>
          <w:p w14:paraId="77E5D021" w14:textId="77777777" w:rsidR="00F3300D" w:rsidRPr="002E3D34" w:rsidRDefault="00F3300D" w:rsidP="008D0C18">
            <w:pPr>
              <w:rPr>
                <w:sz w:val="28"/>
                <w:szCs w:val="28"/>
              </w:rPr>
            </w:pPr>
          </w:p>
        </w:tc>
      </w:tr>
      <w:tr w:rsidR="00F3300D" w:rsidRPr="002E3D34" w14:paraId="49D557BD" w14:textId="77777777" w:rsidTr="00F3300D">
        <w:tc>
          <w:tcPr>
            <w:tcW w:w="4621" w:type="dxa"/>
          </w:tcPr>
          <w:p w14:paraId="6571B10C" w14:textId="77777777" w:rsidR="00F3300D" w:rsidRPr="002E3D34" w:rsidRDefault="00F3300D" w:rsidP="00F3300D">
            <w:pPr>
              <w:rPr>
                <w:rStyle w:val="Hyperlink"/>
                <w:rFonts w:eastAsia="Helvetica World" w:cs="Helvetica World"/>
                <w:color w:val="auto"/>
                <w:sz w:val="28"/>
                <w:szCs w:val="28"/>
                <w:u w:val="none"/>
              </w:rPr>
            </w:pPr>
            <w:r w:rsidRPr="002E3D34">
              <w:rPr>
                <w:rStyle w:val="Hyperlink"/>
                <w:rFonts w:eastAsia="Helvetica World" w:cs="Helvetica World"/>
                <w:color w:val="auto"/>
                <w:sz w:val="28"/>
                <w:szCs w:val="28"/>
                <w:u w:val="none"/>
              </w:rPr>
              <w:t xml:space="preserve">Advice on damp and mould </w:t>
            </w:r>
          </w:p>
          <w:p w14:paraId="1546A900" w14:textId="77777777" w:rsidR="00F3300D" w:rsidRPr="002E3D34" w:rsidRDefault="00F3300D" w:rsidP="008D0C18">
            <w:pPr>
              <w:rPr>
                <w:sz w:val="28"/>
                <w:szCs w:val="28"/>
              </w:rPr>
            </w:pPr>
          </w:p>
        </w:tc>
        <w:tc>
          <w:tcPr>
            <w:tcW w:w="4621" w:type="dxa"/>
          </w:tcPr>
          <w:p w14:paraId="58A962AB" w14:textId="77777777" w:rsidR="00F3300D" w:rsidRPr="002E3D34" w:rsidRDefault="00F3300D" w:rsidP="00F3300D">
            <w:pPr>
              <w:spacing w:before="120" w:after="120" w:line="336" w:lineRule="auto"/>
              <w:rPr>
                <w:sz w:val="28"/>
                <w:szCs w:val="28"/>
              </w:rPr>
            </w:pPr>
            <w:hyperlink r:id="rId18" w:history="1">
              <w:proofErr w:type="gramStart"/>
              <w:r w:rsidRPr="002E3D34">
                <w:rPr>
                  <w:rStyle w:val="Hyperlink"/>
                  <w:sz w:val="28"/>
                  <w:szCs w:val="28"/>
                </w:rPr>
                <w:t>Citizens</w:t>
              </w:r>
              <w:proofErr w:type="gramEnd"/>
              <w:r w:rsidRPr="002E3D34">
                <w:rPr>
                  <w:rStyle w:val="Hyperlink"/>
                  <w:sz w:val="28"/>
                  <w:szCs w:val="28"/>
                </w:rPr>
                <w:t xml:space="preserve"> advice: Damp and mould guidance</w:t>
              </w:r>
            </w:hyperlink>
          </w:p>
          <w:p w14:paraId="753B323A" w14:textId="77777777" w:rsidR="00F3300D" w:rsidRPr="002E3D34" w:rsidRDefault="00F3300D" w:rsidP="00F3300D">
            <w:pPr>
              <w:rPr>
                <w:sz w:val="28"/>
                <w:szCs w:val="28"/>
              </w:rPr>
            </w:pPr>
            <w:hyperlink r:id="rId19" w:history="1">
              <w:r w:rsidRPr="002E3D34">
                <w:rPr>
                  <w:rStyle w:val="Hyperlink"/>
                  <w:sz w:val="28"/>
                  <w:szCs w:val="28"/>
                </w:rPr>
                <w:t>Tower Hamlets Council damp and mould advice</w:t>
              </w:r>
            </w:hyperlink>
          </w:p>
          <w:p w14:paraId="52CE27AF" w14:textId="77777777" w:rsidR="00F3300D" w:rsidRPr="002E3D34" w:rsidRDefault="00F3300D" w:rsidP="008D0C18">
            <w:pPr>
              <w:rPr>
                <w:sz w:val="28"/>
                <w:szCs w:val="28"/>
              </w:rPr>
            </w:pPr>
          </w:p>
        </w:tc>
      </w:tr>
    </w:tbl>
    <w:p w14:paraId="4BA3C77D" w14:textId="77777777" w:rsidR="005159D0" w:rsidRDefault="005159D0" w:rsidP="008D0C18">
      <w:pPr>
        <w:spacing w:line="240" w:lineRule="auto"/>
        <w:rPr>
          <w:b/>
          <w:bCs/>
          <w:color w:val="4C94D8" w:themeColor="text2" w:themeTint="80"/>
          <w:sz w:val="42"/>
          <w:szCs w:val="42"/>
        </w:rPr>
      </w:pPr>
    </w:p>
    <w:p w14:paraId="423BAFAA" w14:textId="77777777" w:rsidR="00F3300D" w:rsidRDefault="00F3300D" w:rsidP="008D0C18">
      <w:pPr>
        <w:spacing w:line="240" w:lineRule="auto"/>
        <w:rPr>
          <w:b/>
          <w:bCs/>
          <w:color w:val="4C94D8" w:themeColor="text2" w:themeTint="80"/>
          <w:sz w:val="42"/>
          <w:szCs w:val="42"/>
        </w:rPr>
      </w:pPr>
    </w:p>
    <w:p w14:paraId="499D11EF" w14:textId="2C5E8C5E" w:rsidR="008D0C18" w:rsidRDefault="008D0C18" w:rsidP="008D0C18">
      <w:pPr>
        <w:spacing w:line="240" w:lineRule="auto"/>
        <w:rPr>
          <w:b/>
          <w:bCs/>
          <w:color w:val="4C94D8" w:themeColor="text2" w:themeTint="80"/>
          <w:sz w:val="42"/>
          <w:szCs w:val="42"/>
        </w:rPr>
      </w:pPr>
      <w:r w:rsidRPr="008D0C18">
        <w:rPr>
          <w:b/>
          <w:bCs/>
          <w:color w:val="4C94D8" w:themeColor="text2" w:themeTint="80"/>
          <w:sz w:val="42"/>
          <w:szCs w:val="42"/>
        </w:rPr>
        <w:t>Acknowledgements</w:t>
      </w:r>
    </w:p>
    <w:p w14:paraId="26BF4575" w14:textId="77777777" w:rsidR="008D0C18" w:rsidRDefault="008D0C18" w:rsidP="008D0C18">
      <w:pPr>
        <w:spacing w:before="120" w:after="120" w:line="336" w:lineRule="auto"/>
      </w:pPr>
      <w:r>
        <w:rPr>
          <w:rFonts w:ascii="Helvetica World" w:eastAsia="Helvetica World" w:hAnsi="Helvetica World" w:cs="Helvetica World"/>
          <w:color w:val="000000"/>
          <w:sz w:val="20"/>
          <w:szCs w:val="20"/>
        </w:rPr>
        <w:t xml:space="preserve">Thank you to the Tower Hamlets Health and Housing Task and Finish Group for their support in developing this resource:  </w:t>
      </w:r>
    </w:p>
    <w:p w14:paraId="6B5C5B6E" w14:textId="40ABF1CA" w:rsidR="008D0C18" w:rsidRPr="008D0C18" w:rsidRDefault="008D0C18" w:rsidP="008D0C18">
      <w:pPr>
        <w:spacing w:line="240" w:lineRule="auto"/>
        <w:rPr>
          <w:b/>
          <w:bCs/>
          <w:color w:val="4C94D8" w:themeColor="text2" w:themeTint="80"/>
          <w:sz w:val="42"/>
          <w:szCs w:val="42"/>
        </w:rPr>
      </w:pPr>
      <w:r>
        <w:rPr>
          <w:rFonts w:ascii="Helvetica World" w:eastAsia="Helvetica World" w:hAnsi="Helvetica World" w:cs="Helvetica World"/>
          <w:color w:val="000000"/>
          <w:sz w:val="20"/>
          <w:szCs w:val="20"/>
        </w:rPr>
        <w:t xml:space="preserve">Katy Scammell, Associate Director of Public Health (Chair), Elizabeth Skillen, Housing Management Policy, Chris Martin, Repairs Contract Manager, Tower Hamlets Homes, Geraldine O’Donnell: Head of Safeguarding and Quality Assurance (or rep), John Harkin: </w:t>
      </w:r>
      <w:r>
        <w:rPr>
          <w:rFonts w:ascii="Helvetica World" w:eastAsia="Helvetica World" w:hAnsi="Helvetica World" w:cs="Helvetica World"/>
          <w:color w:val="000000"/>
          <w:sz w:val="21"/>
          <w:szCs w:val="21"/>
        </w:rPr>
        <w:t xml:space="preserve">Team Manager Assessment and Attainment, </w:t>
      </w:r>
      <w:r>
        <w:rPr>
          <w:rFonts w:ascii="Helvetica World" w:eastAsia="Helvetica World" w:hAnsi="Helvetica World" w:cs="Helvetica World"/>
          <w:color w:val="000000"/>
          <w:sz w:val="20"/>
          <w:szCs w:val="20"/>
        </w:rPr>
        <w:t xml:space="preserve">Kerry </w:t>
      </w:r>
      <w:proofErr w:type="spellStart"/>
      <w:r>
        <w:rPr>
          <w:rFonts w:ascii="Helvetica World" w:eastAsia="Helvetica World" w:hAnsi="Helvetica World" w:cs="Helvetica World"/>
          <w:color w:val="000000"/>
          <w:sz w:val="20"/>
          <w:szCs w:val="20"/>
        </w:rPr>
        <w:t>Greenan</w:t>
      </w:r>
      <w:proofErr w:type="spellEnd"/>
      <w:r>
        <w:rPr>
          <w:rFonts w:ascii="Helvetica World" w:eastAsia="Helvetica World" w:hAnsi="Helvetica World" w:cs="Helvetica World"/>
          <w:color w:val="000000"/>
          <w:sz w:val="20"/>
          <w:szCs w:val="20"/>
        </w:rPr>
        <w:t>: GP+ ICB lead Population Health and Neighbourhoods incl. Homelessness Tower Hamlets, Muna Hassan: rep for THT Board for community voice, Natalie Lovell, Public Health Programme Manager, Natasha Kangwa, Neighbourhood Housing Officer, Rachel Parker, GP + NEL ICB Clinical Lead for Air Quality, Rehana Begum: EH Officer, Health and Housing, Sarah Metcalfe, Public Health Programme Officer, Susie Hannah: Head of Primary Care Transformation, GPCG (or rep), Tori Hadaway: Community Children’s Specialist Asthma Nurse</w:t>
      </w:r>
    </w:p>
    <w:sectPr w:rsidR="008D0C18" w:rsidRPr="008D0C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y Scammell" w:date="2024-06-03T17:09:00Z" w:initials="KS">
    <w:p w14:paraId="5AD0749D" w14:textId="77777777" w:rsidR="008D0C18" w:rsidRDefault="008D0C18" w:rsidP="008D0C18">
      <w:pPr>
        <w:pStyle w:val="CommentText"/>
      </w:pPr>
      <w:r>
        <w:rPr>
          <w:rStyle w:val="CommentReference"/>
        </w:rPr>
        <w:annotationRef/>
      </w:r>
      <w:r>
        <w:t>I’d explain when they get involved - ie. if the landlord hasn’t dealt with the problem (and then reference the pathway below for more detail)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D07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DF90CC" w16cex:dateUtc="2024-06-03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0749D" w16cid:durableId="54DF90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ublic Sans Heavy">
    <w:altName w:val="Calibri"/>
    <w:charset w:val="00"/>
    <w:family w:val="auto"/>
    <w:pitch w:val="default"/>
  </w:font>
  <w:font w:name="Helvetica World">
    <w:altName w:val="Arial"/>
    <w:charset w:val="00"/>
    <w:family w:val="auto"/>
    <w:pitch w:val="default"/>
  </w:font>
  <w:font w:name="Helvetica World Italics">
    <w:altName w:val="Arial"/>
    <w:charset w:val="00"/>
    <w:family w:val="auto"/>
    <w:pitch w:val="default"/>
  </w:font>
  <w:font w:name="Helvetica World Bold">
    <w:altName w:val="Arial"/>
    <w:charset w:val="00"/>
    <w:family w:val="auto"/>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876"/>
    <w:multiLevelType w:val="hybridMultilevel"/>
    <w:tmpl w:val="739466E8"/>
    <w:lvl w:ilvl="0" w:tplc="60D655CC">
      <w:start w:val="1"/>
      <w:numFmt w:val="bullet"/>
      <w:lvlText w:val=""/>
      <w:lvlJc w:val="left"/>
      <w:pPr>
        <w:ind w:left="400" w:hanging="360"/>
      </w:pPr>
      <w:rPr>
        <w:rFonts w:ascii="Symbol" w:hAnsi="Symbol"/>
      </w:rPr>
    </w:lvl>
    <w:lvl w:ilvl="1" w:tplc="E19A56D0">
      <w:start w:val="1"/>
      <w:numFmt w:val="bullet"/>
      <w:lvlText w:val="o"/>
      <w:lvlJc w:val="left"/>
      <w:pPr>
        <w:ind w:left="800" w:hanging="360"/>
      </w:pPr>
      <w:rPr>
        <w:rFonts w:ascii="Courier New" w:hAnsi="Courier New"/>
      </w:rPr>
    </w:lvl>
    <w:lvl w:ilvl="2" w:tplc="FC6C805A">
      <w:start w:val="1"/>
      <w:numFmt w:val="bullet"/>
      <w:lvlText w:val=""/>
      <w:lvlJc w:val="left"/>
      <w:pPr>
        <w:ind w:left="1200" w:hanging="360"/>
      </w:pPr>
      <w:rPr>
        <w:rFonts w:ascii="Wingdings" w:hAnsi="Wingdings"/>
      </w:rPr>
    </w:lvl>
    <w:lvl w:ilvl="3" w:tplc="78165BFA">
      <w:start w:val="1"/>
      <w:numFmt w:val="bullet"/>
      <w:lvlText w:val=""/>
      <w:lvlJc w:val="left"/>
      <w:pPr>
        <w:ind w:left="1600" w:hanging="360"/>
      </w:pPr>
      <w:rPr>
        <w:rFonts w:ascii="Symbol" w:hAnsi="Symbol"/>
      </w:rPr>
    </w:lvl>
    <w:lvl w:ilvl="4" w:tplc="1DFCB95E">
      <w:start w:val="1"/>
      <w:numFmt w:val="bullet"/>
      <w:lvlText w:val="o"/>
      <w:lvlJc w:val="left"/>
      <w:pPr>
        <w:ind w:left="2000" w:hanging="360"/>
      </w:pPr>
      <w:rPr>
        <w:rFonts w:ascii="Courier New" w:hAnsi="Courier New"/>
      </w:rPr>
    </w:lvl>
    <w:lvl w:ilvl="5" w:tplc="EF9CE71E">
      <w:start w:val="1"/>
      <w:numFmt w:val="bullet"/>
      <w:lvlText w:val=""/>
      <w:lvlJc w:val="left"/>
      <w:pPr>
        <w:ind w:left="2400" w:hanging="360"/>
      </w:pPr>
      <w:rPr>
        <w:rFonts w:ascii="Wingdings" w:hAnsi="Wingdings"/>
      </w:rPr>
    </w:lvl>
    <w:lvl w:ilvl="6" w:tplc="307A1DF2">
      <w:start w:val="1"/>
      <w:numFmt w:val="bullet"/>
      <w:lvlText w:val=""/>
      <w:lvlJc w:val="left"/>
      <w:pPr>
        <w:ind w:left="2800" w:hanging="360"/>
      </w:pPr>
      <w:rPr>
        <w:rFonts w:ascii="Symbol" w:hAnsi="Symbol"/>
      </w:rPr>
    </w:lvl>
    <w:lvl w:ilvl="7" w:tplc="39B07D2A">
      <w:start w:val="1"/>
      <w:numFmt w:val="bullet"/>
      <w:lvlText w:val="o"/>
      <w:lvlJc w:val="left"/>
      <w:pPr>
        <w:ind w:left="3200" w:hanging="360"/>
      </w:pPr>
      <w:rPr>
        <w:rFonts w:ascii="Courier New" w:hAnsi="Courier New"/>
      </w:rPr>
    </w:lvl>
    <w:lvl w:ilvl="8" w:tplc="3E5CD142">
      <w:numFmt w:val="decimal"/>
      <w:lvlText w:val=""/>
      <w:lvlJc w:val="left"/>
    </w:lvl>
  </w:abstractNum>
  <w:abstractNum w:abstractNumId="1" w15:restartNumberingAfterBreak="0">
    <w:nsid w:val="271C2131"/>
    <w:multiLevelType w:val="hybridMultilevel"/>
    <w:tmpl w:val="FE2C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D2DFE"/>
    <w:multiLevelType w:val="hybridMultilevel"/>
    <w:tmpl w:val="54E2F7F0"/>
    <w:lvl w:ilvl="0" w:tplc="4DB23A82">
      <w:start w:val="1"/>
      <w:numFmt w:val="bullet"/>
      <w:lvlText w:val=""/>
      <w:lvlJc w:val="left"/>
      <w:pPr>
        <w:ind w:left="400" w:hanging="360"/>
      </w:pPr>
      <w:rPr>
        <w:rFonts w:ascii="Symbol" w:hAnsi="Symbol"/>
      </w:rPr>
    </w:lvl>
    <w:lvl w:ilvl="1" w:tplc="0B3C741C">
      <w:start w:val="1"/>
      <w:numFmt w:val="bullet"/>
      <w:lvlText w:val="o"/>
      <w:lvlJc w:val="left"/>
      <w:pPr>
        <w:ind w:left="800" w:hanging="360"/>
      </w:pPr>
      <w:rPr>
        <w:rFonts w:ascii="Courier New" w:hAnsi="Courier New"/>
      </w:rPr>
    </w:lvl>
    <w:lvl w:ilvl="2" w:tplc="C2BC3CA8">
      <w:start w:val="1"/>
      <w:numFmt w:val="bullet"/>
      <w:lvlText w:val=""/>
      <w:lvlJc w:val="left"/>
      <w:pPr>
        <w:ind w:left="1200" w:hanging="360"/>
      </w:pPr>
      <w:rPr>
        <w:rFonts w:ascii="Wingdings" w:hAnsi="Wingdings"/>
      </w:rPr>
    </w:lvl>
    <w:lvl w:ilvl="3" w:tplc="74E0161A">
      <w:start w:val="1"/>
      <w:numFmt w:val="bullet"/>
      <w:lvlText w:val=""/>
      <w:lvlJc w:val="left"/>
      <w:pPr>
        <w:ind w:left="1600" w:hanging="360"/>
      </w:pPr>
      <w:rPr>
        <w:rFonts w:ascii="Symbol" w:hAnsi="Symbol"/>
      </w:rPr>
    </w:lvl>
    <w:lvl w:ilvl="4" w:tplc="585C17B2">
      <w:start w:val="1"/>
      <w:numFmt w:val="bullet"/>
      <w:lvlText w:val="o"/>
      <w:lvlJc w:val="left"/>
      <w:pPr>
        <w:ind w:left="2000" w:hanging="360"/>
      </w:pPr>
      <w:rPr>
        <w:rFonts w:ascii="Courier New" w:hAnsi="Courier New"/>
      </w:rPr>
    </w:lvl>
    <w:lvl w:ilvl="5" w:tplc="7834CAD0">
      <w:start w:val="1"/>
      <w:numFmt w:val="bullet"/>
      <w:lvlText w:val=""/>
      <w:lvlJc w:val="left"/>
      <w:pPr>
        <w:ind w:left="2400" w:hanging="360"/>
      </w:pPr>
      <w:rPr>
        <w:rFonts w:ascii="Wingdings" w:hAnsi="Wingdings"/>
      </w:rPr>
    </w:lvl>
    <w:lvl w:ilvl="6" w:tplc="43F0C20C">
      <w:start w:val="1"/>
      <w:numFmt w:val="bullet"/>
      <w:lvlText w:val=""/>
      <w:lvlJc w:val="left"/>
      <w:pPr>
        <w:ind w:left="2800" w:hanging="360"/>
      </w:pPr>
      <w:rPr>
        <w:rFonts w:ascii="Symbol" w:hAnsi="Symbol"/>
      </w:rPr>
    </w:lvl>
    <w:lvl w:ilvl="7" w:tplc="EE1A097C">
      <w:start w:val="1"/>
      <w:numFmt w:val="bullet"/>
      <w:lvlText w:val="o"/>
      <w:lvlJc w:val="left"/>
      <w:pPr>
        <w:ind w:left="3200" w:hanging="360"/>
      </w:pPr>
      <w:rPr>
        <w:rFonts w:ascii="Courier New" w:hAnsi="Courier New"/>
      </w:rPr>
    </w:lvl>
    <w:lvl w:ilvl="8" w:tplc="46C20F26">
      <w:numFmt w:val="decimal"/>
      <w:lvlText w:val=""/>
      <w:lvlJc w:val="left"/>
    </w:lvl>
  </w:abstractNum>
  <w:abstractNum w:abstractNumId="3" w15:restartNumberingAfterBreak="0">
    <w:nsid w:val="6A963FC0"/>
    <w:multiLevelType w:val="hybridMultilevel"/>
    <w:tmpl w:val="B180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327493">
    <w:abstractNumId w:val="0"/>
  </w:num>
  <w:num w:numId="2" w16cid:durableId="1050038948">
    <w:abstractNumId w:val="2"/>
  </w:num>
  <w:num w:numId="3" w16cid:durableId="2024278145">
    <w:abstractNumId w:val="3"/>
  </w:num>
  <w:num w:numId="4" w16cid:durableId="16523711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y Scammell">
    <w15:presenceInfo w15:providerId="AD" w15:userId="S::Katy.Scammell@towerhamlets.gov.uk::9a765d8a-5483-461c-92a8-9981b13a6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18"/>
    <w:rsid w:val="002E3D34"/>
    <w:rsid w:val="0031044B"/>
    <w:rsid w:val="005159D0"/>
    <w:rsid w:val="007576B6"/>
    <w:rsid w:val="007F0D2A"/>
    <w:rsid w:val="008A4B7E"/>
    <w:rsid w:val="008D0C18"/>
    <w:rsid w:val="009A2B34"/>
    <w:rsid w:val="00F3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EB555"/>
  <w15:docId w15:val="{E9CD955B-D954-4C54-AD11-E7E560BF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0D"/>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0C18"/>
    <w:rPr>
      <w:sz w:val="16"/>
      <w:szCs w:val="16"/>
    </w:rPr>
  </w:style>
  <w:style w:type="paragraph" w:styleId="CommentText">
    <w:name w:val="annotation text"/>
    <w:basedOn w:val="Normal"/>
    <w:link w:val="CommentTextChar"/>
    <w:uiPriority w:val="99"/>
    <w:unhideWhenUsed/>
    <w:rsid w:val="008D0C18"/>
    <w:pPr>
      <w:spacing w:line="240" w:lineRule="auto"/>
    </w:pPr>
    <w:rPr>
      <w:sz w:val="20"/>
      <w:szCs w:val="20"/>
    </w:rPr>
  </w:style>
  <w:style w:type="character" w:customStyle="1" w:styleId="CommentTextChar">
    <w:name w:val="Comment Text Char"/>
    <w:basedOn w:val="DefaultParagraphFont"/>
    <w:link w:val="CommentText"/>
    <w:uiPriority w:val="99"/>
    <w:rsid w:val="008D0C18"/>
    <w:rPr>
      <w:rFonts w:asciiTheme="minorHAnsi" w:eastAsiaTheme="minorEastAsia" w:hAnsiTheme="minorHAnsi" w:cstheme="minorBidi"/>
      <w:sz w:val="20"/>
      <w:szCs w:val="20"/>
      <w:lang w:eastAsia="en-GB"/>
    </w:rPr>
  </w:style>
  <w:style w:type="character" w:styleId="Hyperlink">
    <w:name w:val="Hyperlink"/>
    <w:basedOn w:val="DefaultParagraphFont"/>
    <w:uiPriority w:val="99"/>
    <w:unhideWhenUsed/>
    <w:rsid w:val="008D0C18"/>
    <w:rPr>
      <w:color w:val="467886" w:themeColor="hyperlink"/>
      <w:u w:val="single"/>
    </w:rPr>
  </w:style>
  <w:style w:type="paragraph" w:styleId="ListParagraph">
    <w:name w:val="List Paragraph"/>
    <w:basedOn w:val="Normal"/>
    <w:uiPriority w:val="34"/>
    <w:qFormat/>
    <w:rsid w:val="008D0C18"/>
    <w:pPr>
      <w:ind w:left="720"/>
      <w:contextualSpacing/>
    </w:pPr>
  </w:style>
  <w:style w:type="table" w:styleId="TableGrid">
    <w:name w:val="Table Grid"/>
    <w:basedOn w:val="TableNormal"/>
    <w:uiPriority w:val="39"/>
    <w:rsid w:val="00F3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gov.uk/government/publications/hhsrs-operating-guidance-housing-act-2004-guidance-about-inspections-and-assessment-of-hazards-given-under-section-9" TargetMode="External"/><Relationship Id="rId18" Type="http://schemas.openxmlformats.org/officeDocument/2006/relationships/hyperlink" Target="https://www.citizensadvice.org.uk/housing/repairs-and-housing-conditions/repairs-and-housing-conditions/common-problems/repairs-damp/"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3.png"/><Relationship Id="rId12" Type="http://schemas.microsoft.com/office/2018/08/relationships/commentsExtensible" Target="commentsExtensible.xml"/><Relationship Id="rId17" Type="http://schemas.openxmlformats.org/officeDocument/2006/relationships/hyperlink" Target="https://www.towerhamlets.gov.uk/lgnl/advice_and_benefits/cost-of-living/Cost-of-living.aspx"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london.gov.uk/programmes-strategies/housing-and-land/improving-private-rented-sector/report-rogue-landlord-or-ag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6/09/relationships/commentsIds" Target="commentsIds.xml"/><Relationship Id="rId24"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england.shelter.org.uk/" TargetMode="External"/><Relationship Id="rId23" Type="http://schemas.openxmlformats.org/officeDocument/2006/relationships/customXml" Target="../customXml/item1.xml"/><Relationship Id="rId10" Type="http://schemas.microsoft.com/office/2011/relationships/commentsExtended" Target="commentsExtended.xml"/><Relationship Id="rId19" Type="http://schemas.openxmlformats.org/officeDocument/2006/relationships/hyperlink" Target="https://www.towerhamlets.gov.uk/lgnl/housing/Health_and_housing/Damp-and-mould/Damp_and_mould.aspx"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nice.org.uk/guidance/ng149/resources/visual-summary-pdf-70227556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9" ma:contentTypeDescription="Create a new document." ma:contentTypeScope="" ma:versionID="a74f0431dfb430ccf9168a260e10f805">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7f6af61273a28873bd699e7b51203228"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c99bb-625f-4332-9e05-e51eafe37df6}" ma:internalName="TaxCatchAll" ma:showField="CatchAllData" ma:web="c0f1eab8-3903-44ec-b09e-06dd9dbdf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2d7286-dd96-43f1-addf-1aa01b239435">
      <Terms xmlns="http://schemas.microsoft.com/office/infopath/2007/PartnerControls"/>
    </lcf76f155ced4ddcb4097134ff3c332f>
    <TaxCatchAll xmlns="c0f1eab8-3903-44ec-b09e-06dd9dbdfde0" xsi:nil="true"/>
  </documentManagement>
</p:properties>
</file>

<file path=customXml/itemProps1.xml><?xml version="1.0" encoding="utf-8"?>
<ds:datastoreItem xmlns:ds="http://schemas.openxmlformats.org/officeDocument/2006/customXml" ds:itemID="{CDF8AAD2-D606-4BD1-A3FD-619DB83C9DCC}"/>
</file>

<file path=customXml/itemProps2.xml><?xml version="1.0" encoding="utf-8"?>
<ds:datastoreItem xmlns:ds="http://schemas.openxmlformats.org/officeDocument/2006/customXml" ds:itemID="{0A8A06CF-91B8-42DD-ACC8-5C61C56B9385}"/>
</file>

<file path=customXml/itemProps3.xml><?xml version="1.0" encoding="utf-8"?>
<ds:datastoreItem xmlns:ds="http://schemas.openxmlformats.org/officeDocument/2006/customXml" ds:itemID="{6FA7E487-18F7-43F8-8F31-5980745ACC8C}"/>
</file>

<file path=docProps/app.xml><?xml version="1.0" encoding="utf-8"?>
<Properties xmlns="http://schemas.openxmlformats.org/officeDocument/2006/extended-properties" xmlns:vt="http://schemas.openxmlformats.org/officeDocument/2006/docPropsVTypes">
  <Template>Normal</Template>
  <TotalTime>1061</TotalTime>
  <Pages>7</Pages>
  <Words>1044</Words>
  <Characters>5495</Characters>
  <Application>Microsoft Office Word</Application>
  <DocSecurity>0</DocSecurity>
  <Lines>171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Metcalfe</dc:creator>
  <cp:keywords/>
  <dc:description/>
  <cp:lastModifiedBy>Sarah Metcalfe</cp:lastModifiedBy>
  <cp:revision>3</cp:revision>
  <dcterms:created xsi:type="dcterms:W3CDTF">2024-06-04T16:00:00Z</dcterms:created>
  <dcterms:modified xsi:type="dcterms:W3CDTF">2024-06-05T10:02:00Z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05af256c-7d55-4537-9177-4ba218d50689</vt:lpwstr>
  </property>
  <property fmtid="{D5CDD505-2E9C-101B-9397-08002B2CF9AE}" pid="3" name="ContentTypeId">
    <vt:lpwstr>0x010100ACBB0DBABED20646B5BB11340AE54F35</vt:lpwstr>
  </property>
</Properties>
</file>