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3589" w14:textId="77777777" w:rsidR="0035270D" w:rsidRDefault="0035270D" w:rsidP="0035270D">
      <w:pPr>
        <w:rPr>
          <w:rFonts w:eastAsia="Times New Roman"/>
          <w:color w:val="000000"/>
          <w:sz w:val="22"/>
          <w:szCs w:val="22"/>
        </w:rPr>
      </w:pPr>
    </w:p>
    <w:tbl>
      <w:tblPr>
        <w:tblW w:w="0" w:type="auto"/>
        <w:tblLook w:val="04A0" w:firstRow="1" w:lastRow="0" w:firstColumn="1" w:lastColumn="0" w:noHBand="0" w:noVBand="1"/>
      </w:tblPr>
      <w:tblGrid>
        <w:gridCol w:w="4681"/>
        <w:gridCol w:w="4375"/>
      </w:tblGrid>
      <w:tr w:rsidR="0035270D" w14:paraId="50DED309" w14:textId="77777777">
        <w:trPr>
          <w:trHeight w:val="330"/>
        </w:trPr>
        <w:tc>
          <w:tcPr>
            <w:tcW w:w="4681"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bottom"/>
            <w:hideMark/>
          </w:tcPr>
          <w:p w14:paraId="07F9D2B7" w14:textId="77777777" w:rsidR="0035270D" w:rsidRDefault="0035270D">
            <w:pPr>
              <w:rPr>
                <w:rFonts w:eastAsia="Times New Roman"/>
                <w:color w:val="000000"/>
                <w:sz w:val="22"/>
                <w:szCs w:val="22"/>
              </w:rPr>
            </w:pPr>
            <w:r>
              <w:rPr>
                <w:rFonts w:eastAsia="Times New Roman"/>
                <w:b/>
                <w:bCs/>
                <w:color w:val="000000"/>
                <w:sz w:val="22"/>
                <w:szCs w:val="22"/>
              </w:rPr>
              <w:t>Support Type</w:t>
            </w:r>
          </w:p>
        </w:tc>
        <w:tc>
          <w:tcPr>
            <w:tcW w:w="57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16157965" w14:textId="77777777" w:rsidR="0035270D" w:rsidRDefault="0035270D">
            <w:pPr>
              <w:rPr>
                <w:rFonts w:eastAsia="Times New Roman"/>
                <w:color w:val="000000"/>
                <w:sz w:val="22"/>
                <w:szCs w:val="22"/>
              </w:rPr>
            </w:pPr>
            <w:r>
              <w:rPr>
                <w:rFonts w:eastAsia="Times New Roman"/>
                <w:b/>
                <w:bCs/>
                <w:color w:val="000000"/>
                <w:sz w:val="22"/>
                <w:szCs w:val="22"/>
              </w:rPr>
              <w:t>Definition</w:t>
            </w:r>
          </w:p>
        </w:tc>
      </w:tr>
      <w:tr w:rsidR="0035270D" w14:paraId="4BFEB0BB" w14:textId="77777777">
        <w:trPr>
          <w:trHeight w:val="855"/>
        </w:trPr>
        <w:tc>
          <w:tcPr>
            <w:tcW w:w="4681"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bottom"/>
            <w:hideMark/>
          </w:tcPr>
          <w:p w14:paraId="0F52D4B8" w14:textId="77777777" w:rsidR="0035270D" w:rsidRDefault="0035270D">
            <w:pPr>
              <w:rPr>
                <w:rFonts w:eastAsia="Times New Roman"/>
                <w:color w:val="000000"/>
                <w:sz w:val="22"/>
                <w:szCs w:val="22"/>
              </w:rPr>
            </w:pPr>
            <w:r>
              <w:rPr>
                <w:rFonts w:eastAsia="Times New Roman"/>
                <w:color w:val="000000"/>
                <w:sz w:val="22"/>
                <w:szCs w:val="22"/>
              </w:rPr>
              <w:t>£165 Pensioner Payment</w:t>
            </w:r>
          </w:p>
        </w:tc>
        <w:tc>
          <w:tcPr>
            <w:tcW w:w="57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77B73F27" w14:textId="77777777" w:rsidR="0035270D" w:rsidRDefault="0035270D">
            <w:pPr>
              <w:rPr>
                <w:rFonts w:eastAsia="Times New Roman"/>
                <w:color w:val="000000"/>
                <w:sz w:val="22"/>
                <w:szCs w:val="22"/>
              </w:rPr>
            </w:pPr>
            <w:r>
              <w:rPr>
                <w:rFonts w:eastAsia="Times New Roman"/>
                <w:color w:val="000000"/>
                <w:sz w:val="22"/>
                <w:szCs w:val="22"/>
              </w:rPr>
              <w:t>£165 payment to pensioners in the borough with known arrears. Identified using Council Tax Reduction and/or Housing Benefit data (must be in receipt of either or both).</w:t>
            </w:r>
          </w:p>
        </w:tc>
      </w:tr>
      <w:tr w:rsidR="0035270D" w14:paraId="51C8098D" w14:textId="77777777">
        <w:trPr>
          <w:trHeight w:val="1080"/>
        </w:trPr>
        <w:tc>
          <w:tcPr>
            <w:tcW w:w="4681"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bottom"/>
            <w:hideMark/>
          </w:tcPr>
          <w:p w14:paraId="04CECFA0" w14:textId="77777777" w:rsidR="0035270D" w:rsidRDefault="0035270D">
            <w:pPr>
              <w:rPr>
                <w:rFonts w:eastAsia="Times New Roman"/>
                <w:color w:val="000000"/>
                <w:sz w:val="22"/>
                <w:szCs w:val="22"/>
              </w:rPr>
            </w:pPr>
            <w:r>
              <w:rPr>
                <w:rFonts w:eastAsia="Times New Roman"/>
                <w:color w:val="000000"/>
                <w:sz w:val="22"/>
                <w:szCs w:val="22"/>
              </w:rPr>
              <w:t>£45 Single Household Payment</w:t>
            </w:r>
          </w:p>
        </w:tc>
        <w:tc>
          <w:tcPr>
            <w:tcW w:w="57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0CFFF0DD" w14:textId="77777777" w:rsidR="0035270D" w:rsidRDefault="0035270D">
            <w:pPr>
              <w:rPr>
                <w:rFonts w:eastAsia="Times New Roman"/>
                <w:color w:val="000000"/>
                <w:sz w:val="22"/>
                <w:szCs w:val="22"/>
              </w:rPr>
            </w:pPr>
            <w:r>
              <w:rPr>
                <w:rFonts w:eastAsia="Times New Roman"/>
                <w:color w:val="000000"/>
                <w:sz w:val="22"/>
                <w:szCs w:val="22"/>
              </w:rPr>
              <w:t>£45 payment to single households in the borough identified as having or likely to have an income to expenditure deficit. Identified using Council Tax Reduction and/or Housing Benefit data (must be in receipt of either or both).</w:t>
            </w:r>
          </w:p>
        </w:tc>
      </w:tr>
      <w:tr w:rsidR="0035270D" w14:paraId="1F2F3180" w14:textId="77777777">
        <w:trPr>
          <w:trHeight w:val="645"/>
        </w:trPr>
        <w:tc>
          <w:tcPr>
            <w:tcW w:w="4681"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bottom"/>
            <w:hideMark/>
          </w:tcPr>
          <w:p w14:paraId="02235A11" w14:textId="77777777" w:rsidR="0035270D" w:rsidRDefault="0035270D">
            <w:pPr>
              <w:rPr>
                <w:rFonts w:eastAsia="Times New Roman"/>
                <w:color w:val="000000"/>
                <w:sz w:val="22"/>
                <w:szCs w:val="22"/>
              </w:rPr>
            </w:pPr>
            <w:r>
              <w:rPr>
                <w:rFonts w:eastAsia="Times New Roman"/>
                <w:color w:val="000000"/>
                <w:sz w:val="22"/>
                <w:szCs w:val="22"/>
              </w:rPr>
              <w:t>£150 Young Carers Payment 2</w:t>
            </w:r>
          </w:p>
        </w:tc>
        <w:tc>
          <w:tcPr>
            <w:tcW w:w="57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2142EA9C" w14:textId="77777777" w:rsidR="0035270D" w:rsidRDefault="0035270D">
            <w:pPr>
              <w:rPr>
                <w:rFonts w:eastAsia="Times New Roman"/>
                <w:color w:val="000000"/>
                <w:sz w:val="22"/>
                <w:szCs w:val="22"/>
              </w:rPr>
            </w:pPr>
            <w:r>
              <w:rPr>
                <w:rFonts w:eastAsia="Times New Roman"/>
                <w:color w:val="000000"/>
                <w:sz w:val="22"/>
                <w:szCs w:val="22"/>
              </w:rPr>
              <w:t>£150 payment to families identified as having a young carer. Families have been nominated by the Youth Participation Team Manager.</w:t>
            </w:r>
          </w:p>
        </w:tc>
      </w:tr>
      <w:tr w:rsidR="0035270D" w14:paraId="36F7B0DD" w14:textId="77777777">
        <w:trPr>
          <w:trHeight w:val="1080"/>
        </w:trPr>
        <w:tc>
          <w:tcPr>
            <w:tcW w:w="4681"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bottom"/>
            <w:hideMark/>
          </w:tcPr>
          <w:p w14:paraId="708AC946" w14:textId="77777777" w:rsidR="0035270D" w:rsidRDefault="0035270D">
            <w:pPr>
              <w:rPr>
                <w:rFonts w:eastAsia="Times New Roman"/>
                <w:color w:val="000000"/>
                <w:sz w:val="22"/>
                <w:szCs w:val="22"/>
              </w:rPr>
            </w:pPr>
            <w:r>
              <w:rPr>
                <w:rFonts w:eastAsia="Times New Roman"/>
                <w:color w:val="000000"/>
                <w:sz w:val="22"/>
                <w:szCs w:val="22"/>
              </w:rPr>
              <w:t>£210 Households with Children Payment</w:t>
            </w:r>
          </w:p>
        </w:tc>
        <w:tc>
          <w:tcPr>
            <w:tcW w:w="57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1758711A" w14:textId="77777777" w:rsidR="0035270D" w:rsidRDefault="0035270D">
            <w:pPr>
              <w:rPr>
                <w:rFonts w:eastAsia="Times New Roman"/>
                <w:color w:val="000000"/>
                <w:sz w:val="22"/>
                <w:szCs w:val="22"/>
              </w:rPr>
            </w:pPr>
            <w:r>
              <w:rPr>
                <w:rFonts w:eastAsia="Times New Roman"/>
                <w:color w:val="000000"/>
                <w:sz w:val="22"/>
                <w:szCs w:val="22"/>
              </w:rPr>
              <w:t>£210 payment to households with children in the borough identified as having or likely to have an income to expenditure deficit. Identified using Council Tax Reduction and/or Housing Benefit data (must be in receipt of either or both).</w:t>
            </w:r>
          </w:p>
        </w:tc>
      </w:tr>
      <w:tr w:rsidR="0035270D" w14:paraId="15AD96D1" w14:textId="77777777">
        <w:trPr>
          <w:trHeight w:val="1080"/>
        </w:trPr>
        <w:tc>
          <w:tcPr>
            <w:tcW w:w="4681"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bottom"/>
            <w:hideMark/>
          </w:tcPr>
          <w:p w14:paraId="5748CD86" w14:textId="77777777" w:rsidR="0035270D" w:rsidRDefault="0035270D">
            <w:pPr>
              <w:rPr>
                <w:rFonts w:eastAsia="Times New Roman"/>
                <w:color w:val="000000"/>
                <w:sz w:val="22"/>
                <w:szCs w:val="22"/>
              </w:rPr>
            </w:pPr>
            <w:r>
              <w:rPr>
                <w:rFonts w:eastAsia="Times New Roman"/>
                <w:color w:val="000000"/>
                <w:sz w:val="22"/>
                <w:szCs w:val="22"/>
              </w:rPr>
              <w:t>£210 In Work Payment</w:t>
            </w:r>
          </w:p>
        </w:tc>
        <w:tc>
          <w:tcPr>
            <w:tcW w:w="57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1F017336" w14:textId="77777777" w:rsidR="0035270D" w:rsidRDefault="0035270D">
            <w:pPr>
              <w:rPr>
                <w:rFonts w:eastAsia="Times New Roman"/>
                <w:color w:val="000000"/>
                <w:sz w:val="22"/>
                <w:szCs w:val="22"/>
              </w:rPr>
            </w:pPr>
            <w:r>
              <w:rPr>
                <w:rFonts w:eastAsia="Times New Roman"/>
                <w:color w:val="000000"/>
                <w:sz w:val="22"/>
                <w:szCs w:val="22"/>
              </w:rPr>
              <w:t>£210 payment to households in the borough in work, with no savings, and earning below the real Living Wage (£13.85/hour). Identified using Council Tax Reduction and/or Housing Benefit data (must be in receipt of either or both).</w:t>
            </w:r>
          </w:p>
        </w:tc>
      </w:tr>
      <w:tr w:rsidR="0035270D" w14:paraId="364392D8" w14:textId="77777777">
        <w:trPr>
          <w:trHeight w:val="435"/>
        </w:trPr>
        <w:tc>
          <w:tcPr>
            <w:tcW w:w="4681"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bottom"/>
            <w:hideMark/>
          </w:tcPr>
          <w:p w14:paraId="3F7F8C3E" w14:textId="77777777" w:rsidR="0035270D" w:rsidRDefault="0035270D">
            <w:pPr>
              <w:rPr>
                <w:rFonts w:eastAsia="Times New Roman"/>
                <w:color w:val="000000"/>
                <w:sz w:val="22"/>
                <w:szCs w:val="22"/>
              </w:rPr>
            </w:pPr>
            <w:r>
              <w:rPr>
                <w:rFonts w:eastAsia="Times New Roman"/>
                <w:color w:val="000000"/>
                <w:sz w:val="22"/>
                <w:szCs w:val="22"/>
              </w:rPr>
              <w:t xml:space="preserve">£100 </w:t>
            </w:r>
            <w:proofErr w:type="spellStart"/>
            <w:r>
              <w:rPr>
                <w:rFonts w:eastAsia="Times New Roman"/>
                <w:color w:val="000000"/>
                <w:sz w:val="22"/>
                <w:szCs w:val="22"/>
              </w:rPr>
              <w:t>WorkPath</w:t>
            </w:r>
            <w:proofErr w:type="spellEnd"/>
            <w:r>
              <w:rPr>
                <w:rFonts w:eastAsia="Times New Roman"/>
                <w:color w:val="000000"/>
                <w:sz w:val="22"/>
                <w:szCs w:val="22"/>
              </w:rPr>
              <w:t xml:space="preserve"> Payment 3</w:t>
            </w:r>
          </w:p>
        </w:tc>
        <w:tc>
          <w:tcPr>
            <w:tcW w:w="57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1B3408D5" w14:textId="77777777" w:rsidR="0035270D" w:rsidRDefault="0035270D">
            <w:pPr>
              <w:rPr>
                <w:rFonts w:eastAsia="Times New Roman"/>
                <w:color w:val="000000"/>
                <w:sz w:val="22"/>
                <w:szCs w:val="22"/>
              </w:rPr>
            </w:pPr>
            <w:r>
              <w:rPr>
                <w:rFonts w:eastAsia="Times New Roman"/>
                <w:color w:val="000000"/>
                <w:sz w:val="22"/>
                <w:szCs w:val="22"/>
              </w:rPr>
              <w:t xml:space="preserve">£100 payment to residents identified as in need of support through the </w:t>
            </w:r>
            <w:proofErr w:type="spellStart"/>
            <w:r>
              <w:rPr>
                <w:rFonts w:eastAsia="Times New Roman"/>
                <w:color w:val="000000"/>
                <w:sz w:val="22"/>
                <w:szCs w:val="22"/>
              </w:rPr>
              <w:t>WorkPath</w:t>
            </w:r>
            <w:proofErr w:type="spellEnd"/>
            <w:r>
              <w:rPr>
                <w:rFonts w:eastAsia="Times New Roman"/>
                <w:color w:val="000000"/>
                <w:sz w:val="22"/>
                <w:szCs w:val="22"/>
              </w:rPr>
              <w:t xml:space="preserve"> database.</w:t>
            </w:r>
          </w:p>
        </w:tc>
      </w:tr>
      <w:tr w:rsidR="0035270D" w14:paraId="210D1653" w14:textId="77777777">
        <w:trPr>
          <w:trHeight w:val="1740"/>
        </w:trPr>
        <w:tc>
          <w:tcPr>
            <w:tcW w:w="4681"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bottom"/>
            <w:hideMark/>
          </w:tcPr>
          <w:p w14:paraId="59653C89" w14:textId="77777777" w:rsidR="0035270D" w:rsidRDefault="0035270D">
            <w:pPr>
              <w:rPr>
                <w:rFonts w:eastAsia="Times New Roman"/>
                <w:color w:val="000000"/>
                <w:sz w:val="22"/>
                <w:szCs w:val="22"/>
              </w:rPr>
            </w:pPr>
            <w:r>
              <w:rPr>
                <w:rFonts w:eastAsia="Times New Roman"/>
                <w:color w:val="000000"/>
                <w:sz w:val="22"/>
                <w:szCs w:val="22"/>
              </w:rPr>
              <w:t>£75 Higher Level of Disability Payment</w:t>
            </w:r>
          </w:p>
        </w:tc>
        <w:tc>
          <w:tcPr>
            <w:tcW w:w="57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1BD04C55" w14:textId="77777777" w:rsidR="0035270D" w:rsidRDefault="0035270D">
            <w:pPr>
              <w:rPr>
                <w:rFonts w:eastAsia="Times New Roman"/>
                <w:color w:val="000000"/>
                <w:sz w:val="22"/>
                <w:szCs w:val="22"/>
              </w:rPr>
            </w:pPr>
            <w:r>
              <w:rPr>
                <w:rFonts w:eastAsia="Times New Roman"/>
                <w:color w:val="000000"/>
                <w:sz w:val="22"/>
                <w:szCs w:val="22"/>
              </w:rPr>
              <w:t>£75 payment to households in the borough with a higher level of disability and with no savings. Households identified as claiming a higher rate disability or sickness benefit (claimant or partner either on Higher DLA, Higher AA, or Enhanced PIP. Or they are in the ESA Support group). Identified using Council Tax Reduction and/or Housing Benefit data (must be in receipt of either or both).</w:t>
            </w:r>
          </w:p>
        </w:tc>
      </w:tr>
      <w:tr w:rsidR="0035270D" w14:paraId="56BC3C58" w14:textId="77777777">
        <w:trPr>
          <w:trHeight w:val="1080"/>
        </w:trPr>
        <w:tc>
          <w:tcPr>
            <w:tcW w:w="4681"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bottom"/>
            <w:hideMark/>
          </w:tcPr>
          <w:p w14:paraId="0E1E1F89" w14:textId="77777777" w:rsidR="0035270D" w:rsidRDefault="0035270D">
            <w:pPr>
              <w:rPr>
                <w:rFonts w:eastAsia="Times New Roman"/>
                <w:color w:val="000000"/>
                <w:sz w:val="22"/>
                <w:szCs w:val="22"/>
              </w:rPr>
            </w:pPr>
            <w:r>
              <w:rPr>
                <w:rFonts w:eastAsia="Times New Roman"/>
                <w:color w:val="000000"/>
                <w:sz w:val="22"/>
                <w:szCs w:val="22"/>
              </w:rPr>
              <w:t>£210 Households with&gt;2 children&lt;£60K Payment</w:t>
            </w:r>
          </w:p>
        </w:tc>
        <w:tc>
          <w:tcPr>
            <w:tcW w:w="57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34AC72C8" w14:textId="77777777" w:rsidR="0035270D" w:rsidRDefault="0035270D">
            <w:pPr>
              <w:rPr>
                <w:rFonts w:eastAsia="Times New Roman"/>
                <w:color w:val="000000"/>
                <w:sz w:val="22"/>
                <w:szCs w:val="22"/>
              </w:rPr>
            </w:pPr>
            <w:r>
              <w:rPr>
                <w:rFonts w:eastAsia="Times New Roman"/>
                <w:color w:val="000000"/>
                <w:sz w:val="22"/>
                <w:szCs w:val="22"/>
              </w:rPr>
              <w:t>£210 payment to households in the borough with more than 2 children and less than £60,000 in expected annual household income. Identified using Council Tax Reduction and/or Housing Benefit data (must be in receipt of either or both).</w:t>
            </w:r>
          </w:p>
        </w:tc>
      </w:tr>
      <w:tr w:rsidR="0035270D" w14:paraId="613201AC" w14:textId="77777777">
        <w:trPr>
          <w:trHeight w:val="1080"/>
        </w:trPr>
        <w:tc>
          <w:tcPr>
            <w:tcW w:w="4681"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bottom"/>
            <w:hideMark/>
          </w:tcPr>
          <w:p w14:paraId="0E63E612" w14:textId="77777777" w:rsidR="0035270D" w:rsidRDefault="0035270D">
            <w:pPr>
              <w:rPr>
                <w:rFonts w:eastAsia="Times New Roman"/>
                <w:color w:val="000000"/>
                <w:sz w:val="22"/>
                <w:szCs w:val="22"/>
              </w:rPr>
            </w:pPr>
            <w:r>
              <w:rPr>
                <w:rFonts w:eastAsia="Times New Roman"/>
                <w:color w:val="000000"/>
                <w:sz w:val="22"/>
                <w:szCs w:val="22"/>
              </w:rPr>
              <w:t>£100 Family Support Payment</w:t>
            </w:r>
          </w:p>
        </w:tc>
        <w:tc>
          <w:tcPr>
            <w:tcW w:w="57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297DFBCF" w14:textId="77777777" w:rsidR="0035270D" w:rsidRDefault="0035270D">
            <w:pPr>
              <w:rPr>
                <w:rFonts w:eastAsia="Times New Roman"/>
                <w:color w:val="000000"/>
                <w:sz w:val="22"/>
                <w:szCs w:val="22"/>
              </w:rPr>
            </w:pPr>
            <w:r>
              <w:rPr>
                <w:rFonts w:eastAsia="Times New Roman"/>
                <w:color w:val="000000"/>
                <w:sz w:val="22"/>
                <w:szCs w:val="22"/>
              </w:rPr>
              <w:t xml:space="preserve">£100 payment to households in the borough with children and less than £60,000 in expected annual household income. Identified using Council Tax Reduction and/or Housing Benefit data (must be in receipt of </w:t>
            </w:r>
            <w:r>
              <w:rPr>
                <w:rFonts w:eastAsia="Times New Roman"/>
                <w:color w:val="000000"/>
                <w:sz w:val="22"/>
                <w:szCs w:val="22"/>
              </w:rPr>
              <w:lastRenderedPageBreak/>
              <w:t>either or both).</w:t>
            </w:r>
          </w:p>
        </w:tc>
      </w:tr>
    </w:tbl>
    <w:p w14:paraId="56771CA4" w14:textId="77777777" w:rsidR="0035270D" w:rsidRDefault="0035270D" w:rsidP="0035270D">
      <w:pPr>
        <w:rPr>
          <w:rFonts w:eastAsia="Times New Roman"/>
          <w:color w:val="000000"/>
          <w:sz w:val="22"/>
          <w:szCs w:val="22"/>
        </w:rPr>
      </w:pPr>
    </w:p>
    <w:p w14:paraId="7F491EDB" w14:textId="77777777" w:rsidR="002B6DA3" w:rsidRDefault="002B6DA3"/>
    <w:sectPr w:rsidR="002B6D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270D"/>
    <w:rsid w:val="0001430E"/>
    <w:rsid w:val="002B6DA3"/>
    <w:rsid w:val="0035270D"/>
    <w:rsid w:val="00FC5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944D"/>
  <w15:chartTrackingRefBased/>
  <w15:docId w15:val="{DB1D8AD8-30EC-43A1-BC6E-9D65B9B1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70D"/>
    <w:pPr>
      <w:spacing w:after="0" w:line="240" w:lineRule="auto"/>
    </w:pPr>
    <w:rPr>
      <w:rFonts w:ascii="Aptos" w:hAnsi="Aptos" w:cs="Aptos"/>
      <w:kern w:val="0"/>
      <w:sz w:val="24"/>
      <w:szCs w:val="24"/>
      <w:lang w:eastAsia="en-GB"/>
    </w:rPr>
  </w:style>
  <w:style w:type="paragraph" w:styleId="Heading1">
    <w:name w:val="heading 1"/>
    <w:basedOn w:val="Normal"/>
    <w:next w:val="Normal"/>
    <w:link w:val="Heading1Char"/>
    <w:uiPriority w:val="9"/>
    <w:qFormat/>
    <w:rsid w:val="00352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7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7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7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7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70D"/>
    <w:rPr>
      <w:rFonts w:eastAsiaTheme="majorEastAsia" w:cstheme="majorBidi"/>
      <w:color w:val="272727" w:themeColor="text1" w:themeTint="D8"/>
    </w:rPr>
  </w:style>
  <w:style w:type="paragraph" w:styleId="Title">
    <w:name w:val="Title"/>
    <w:basedOn w:val="Normal"/>
    <w:next w:val="Normal"/>
    <w:link w:val="TitleChar"/>
    <w:uiPriority w:val="10"/>
    <w:qFormat/>
    <w:rsid w:val="003527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70D"/>
    <w:pPr>
      <w:spacing w:before="160"/>
      <w:jc w:val="center"/>
    </w:pPr>
    <w:rPr>
      <w:i/>
      <w:iCs/>
      <w:color w:val="404040" w:themeColor="text1" w:themeTint="BF"/>
    </w:rPr>
  </w:style>
  <w:style w:type="character" w:customStyle="1" w:styleId="QuoteChar">
    <w:name w:val="Quote Char"/>
    <w:basedOn w:val="DefaultParagraphFont"/>
    <w:link w:val="Quote"/>
    <w:uiPriority w:val="29"/>
    <w:rsid w:val="0035270D"/>
    <w:rPr>
      <w:i/>
      <w:iCs/>
      <w:color w:val="404040" w:themeColor="text1" w:themeTint="BF"/>
    </w:rPr>
  </w:style>
  <w:style w:type="paragraph" w:styleId="ListParagraph">
    <w:name w:val="List Paragraph"/>
    <w:basedOn w:val="Normal"/>
    <w:uiPriority w:val="34"/>
    <w:qFormat/>
    <w:rsid w:val="0035270D"/>
    <w:pPr>
      <w:ind w:left="720"/>
      <w:contextualSpacing/>
    </w:pPr>
  </w:style>
  <w:style w:type="character" w:styleId="IntenseEmphasis">
    <w:name w:val="Intense Emphasis"/>
    <w:basedOn w:val="DefaultParagraphFont"/>
    <w:uiPriority w:val="21"/>
    <w:qFormat/>
    <w:rsid w:val="0035270D"/>
    <w:rPr>
      <w:i/>
      <w:iCs/>
      <w:color w:val="0F4761" w:themeColor="accent1" w:themeShade="BF"/>
    </w:rPr>
  </w:style>
  <w:style w:type="paragraph" w:styleId="IntenseQuote">
    <w:name w:val="Intense Quote"/>
    <w:basedOn w:val="Normal"/>
    <w:next w:val="Normal"/>
    <w:link w:val="IntenseQuoteChar"/>
    <w:uiPriority w:val="30"/>
    <w:qFormat/>
    <w:rsid w:val="00352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70D"/>
    <w:rPr>
      <w:i/>
      <w:iCs/>
      <w:color w:val="0F4761" w:themeColor="accent1" w:themeShade="BF"/>
    </w:rPr>
  </w:style>
  <w:style w:type="character" w:styleId="IntenseReference">
    <w:name w:val="Intense Reference"/>
    <w:basedOn w:val="DefaultParagraphFont"/>
    <w:uiPriority w:val="32"/>
    <w:qFormat/>
    <w:rsid w:val="003527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Ellis</dc:creator>
  <cp:keywords/>
  <dc:description/>
  <cp:lastModifiedBy>Jo Ellis</cp:lastModifiedBy>
  <cp:revision>1</cp:revision>
  <dcterms:created xsi:type="dcterms:W3CDTF">2026-02-04T11:12:00Z</dcterms:created>
  <dcterms:modified xsi:type="dcterms:W3CDTF">2026-02-04T11:13:00Z</dcterms:modified>
</cp:coreProperties>
</file>